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bidder should be OEM or their authorized </w:t>
      </w:r>
      <w:r w:rsidR="008D0C3D">
        <w:rPr>
          <w:rFonts w:ascii="Arial" w:hAnsi="Arial" w:cs="Arial"/>
        </w:rPr>
        <w:t>dealer.</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519D2"/>
    <w:rsid w:val="00862A2B"/>
    <w:rsid w:val="008905CE"/>
    <w:rsid w:val="00894E7F"/>
    <w:rsid w:val="008A069C"/>
    <w:rsid w:val="008A204F"/>
    <w:rsid w:val="008D0575"/>
    <w:rsid w:val="008D0C3D"/>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1269</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2017-10-04T09:10:00Z</dcterms:modified>
</cp:coreProperties>
</file>