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E010F6">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E010F6">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w:t>
      </w:r>
      <w:r w:rsidR="00E010F6">
        <w:rPr>
          <w:rFonts w:ascii="Arial" w:hAnsi="Arial" w:cs="Arial"/>
        </w:rPr>
        <w:t>r authorized dealer.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41D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0F6"/>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2017-10-04T09:37:00Z</dcterms:modified>
</cp:coreProperties>
</file>