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CC" w:rsidRDefault="00784278" w:rsidP="00CA770C">
      <w:pPr>
        <w:spacing w:after="0" w:line="240" w:lineRule="auto"/>
        <w:jc w:val="right"/>
        <w:rPr>
          <w:rFonts w:asciiTheme="majorHAnsi" w:hAnsiTheme="majorHAnsi" w:cs="Arial"/>
          <w:color w:val="000000" w:themeColor="text1"/>
        </w:rPr>
      </w:pPr>
      <w:r w:rsidRPr="008668CA">
        <w:rPr>
          <w:rFonts w:asciiTheme="majorHAnsi" w:hAnsiTheme="majorHAnsi" w:cs="Arial"/>
          <w:color w:val="000000" w:themeColor="text1"/>
        </w:rPr>
        <w:t xml:space="preserve">                 </w:t>
      </w:r>
    </w:p>
    <w:p w:rsidR="00EB0BCC" w:rsidRDefault="00EB0BCC"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0D00B1" w:rsidRPr="00121A59" w:rsidRDefault="000D00B1" w:rsidP="00C5615D">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&amp;Technocommercial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0D00B1" w:rsidRPr="00121A59" w:rsidRDefault="000D00B1" w:rsidP="000D00B1">
      <w:pPr>
        <w:pStyle w:val="ListParagraph"/>
        <w:tabs>
          <w:tab w:val="left" w:pos="3139"/>
        </w:tabs>
        <w:spacing w:after="0" w:line="240" w:lineRule="auto"/>
        <w:contextualSpacing w:val="0"/>
        <w:jc w:val="both"/>
        <w:rPr>
          <w:rFonts w:ascii="Rockwell" w:hAnsi="Rockwell" w:cs="Arial"/>
        </w:rPr>
      </w:pPr>
      <w:r>
        <w:rPr>
          <w:rFonts w:ascii="Rockwell" w:hAnsi="Rockwell" w:cs="Arial"/>
        </w:rPr>
        <w:tab/>
      </w:r>
    </w:p>
    <w:p w:rsidR="000D00B1" w:rsidRDefault="000D00B1" w:rsidP="000D00B1">
      <w:pPr>
        <w:spacing w:after="0" w:line="240" w:lineRule="auto"/>
        <w:ind w:left="1440" w:hanging="720"/>
        <w:jc w:val="both"/>
        <w:rPr>
          <w:rFonts w:ascii="Rockwell" w:hAnsi="Rockwell" w:cs="Arial"/>
          <w:b/>
          <w:u w:val="single"/>
        </w:rPr>
      </w:pPr>
      <w:r w:rsidRPr="00121A59">
        <w:rPr>
          <w:rFonts w:ascii="Rockwell" w:hAnsi="Rockwell" w:cs="Arial"/>
        </w:rPr>
        <w:t xml:space="preserve">NOTE: </w:t>
      </w:r>
      <w:r>
        <w:rPr>
          <w:rFonts w:ascii="Rockwell" w:hAnsi="Rockwell" w:cs="Arial"/>
        </w:rPr>
        <w:t xml:space="preserve">i)Bidders should quote through </w:t>
      </w:r>
      <w:hyperlink r:id="rId8"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0D00B1" w:rsidRDefault="000D00B1" w:rsidP="000D00B1">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005 ,0120-6277787 /Email-Support-eproc @ nic.in. </w:t>
      </w:r>
    </w:p>
    <w:p w:rsidR="000D00B1" w:rsidRPr="00725EA3" w:rsidRDefault="000D00B1" w:rsidP="00C5615D">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0D00B1" w:rsidRPr="00121A59" w:rsidRDefault="000D00B1" w:rsidP="000D00B1">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0D00B1" w:rsidRPr="000D00B1" w:rsidRDefault="000D00B1" w:rsidP="00C5615D">
      <w:pPr>
        <w:pStyle w:val="ListParagraph"/>
        <w:numPr>
          <w:ilvl w:val="0"/>
          <w:numId w:val="5"/>
        </w:numPr>
        <w:spacing w:after="0" w:line="240" w:lineRule="auto"/>
        <w:jc w:val="both"/>
        <w:rPr>
          <w:rFonts w:ascii="Rockwell" w:hAnsi="Rockwell"/>
        </w:rPr>
      </w:pPr>
      <w:r w:rsidRPr="000D00B1">
        <w:rPr>
          <w:rFonts w:ascii="Rockwell" w:hAnsi="Rockwell"/>
          <w:b/>
          <w:u w:val="single"/>
        </w:rPr>
        <w:t>EARNEST MONEY DEPOSIT</w:t>
      </w:r>
      <w:r w:rsidRPr="000D00B1">
        <w:rPr>
          <w:rFonts w:ascii="Rockwell" w:hAnsi="Rockwell"/>
          <w:b/>
        </w:rPr>
        <w:t xml:space="preserve">: </w:t>
      </w:r>
    </w:p>
    <w:p w:rsidR="000D00B1" w:rsidRPr="00121A59" w:rsidRDefault="000D00B1" w:rsidP="000D00B1">
      <w:pPr>
        <w:pStyle w:val="Default"/>
        <w:ind w:left="450"/>
        <w:rPr>
          <w:rFonts w:ascii="Rockwell" w:hAnsi="Rockwell" w:cs="Times New Roman"/>
          <w:sz w:val="22"/>
          <w:szCs w:val="22"/>
        </w:rPr>
      </w:pPr>
    </w:p>
    <w:p w:rsidR="000D00B1" w:rsidRPr="00121A59" w:rsidRDefault="000D00B1" w:rsidP="000D00B1">
      <w:pPr>
        <w:pStyle w:val="ListParagraph"/>
        <w:rPr>
          <w:rFonts w:ascii="Rockwell" w:hAnsi="Rockwell"/>
        </w:rPr>
      </w:pPr>
      <w:r w:rsidRPr="00121A59">
        <w:rPr>
          <w:rFonts w:ascii="Rockwell" w:hAnsi="Rockwell"/>
        </w:rPr>
        <w:t>i)MSME/NSIC  vendors exempted from submission of Earnest Money Deposit(Bid Security)/Declaration for bid Security. However they must submit valid supporting document as proof of being registered MSME/NSIC.</w:t>
      </w:r>
    </w:p>
    <w:p w:rsidR="000D00B1" w:rsidRPr="00121A59" w:rsidRDefault="000D00B1" w:rsidP="000D00B1">
      <w:pPr>
        <w:pStyle w:val="ListParagraph"/>
        <w:rPr>
          <w:rFonts w:ascii="Rockwell" w:hAnsi="Rockwell"/>
        </w:rPr>
      </w:pPr>
      <w:r w:rsidRPr="00121A59">
        <w:rPr>
          <w:rFonts w:ascii="Rockwell" w:hAnsi="Rockwell"/>
        </w:rPr>
        <w:t>ii)All other bidders also exempted from submission of bid security (EMD),however they must submit Declaration for Bid security in  lieu of EMD as per the format attached( ref.Annexure-5)</w:t>
      </w:r>
    </w:p>
    <w:p w:rsidR="000D00B1" w:rsidRPr="00121A59" w:rsidRDefault="000D00B1" w:rsidP="00C5615D">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0D00B1" w:rsidRPr="00121A59" w:rsidRDefault="000D00B1" w:rsidP="000D00B1">
      <w:pPr>
        <w:pStyle w:val="ListParagraph"/>
        <w:spacing w:before="120" w:after="120" w:line="240" w:lineRule="auto"/>
        <w:jc w:val="both"/>
        <w:rPr>
          <w:rFonts w:ascii="Rockwell" w:eastAsia="Times New Roman" w:hAnsi="Rockwell" w:cs="Arial"/>
          <w:color w:val="000000" w:themeColor="text1"/>
        </w:rPr>
      </w:pP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Bidders who are not registered with UCIL for RTGS payment .They should provide Bank details, Scan copy of Pan Card and GSTIN number (if applicable) &amp; copy of cancelled cheque leaf along with Pre qualification Part.</w:t>
      </w:r>
    </w:p>
    <w:p w:rsidR="000D00B1" w:rsidRPr="004165AB" w:rsidRDefault="000D00B1" w:rsidP="00C5615D">
      <w:pPr>
        <w:numPr>
          <w:ilvl w:val="0"/>
          <w:numId w:val="5"/>
        </w:numPr>
        <w:spacing w:before="120" w:after="120" w:line="240" w:lineRule="auto"/>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sidR="0074629B">
        <w:rPr>
          <w:rFonts w:ascii="Rockwell" w:hAnsi="Rockwell" w:cs="Arial"/>
          <w:color w:val="000000" w:themeColor="text1"/>
        </w:rPr>
        <w:t>2</w:t>
      </w:r>
      <w:r w:rsidRPr="004165AB">
        <w:rPr>
          <w:rFonts w:ascii="Rockwell" w:hAnsi="Rockwell" w:cs="Arial"/>
          <w:color w:val="000000" w:themeColor="text1"/>
        </w:rPr>
        <w:t xml:space="preserve"> </w:t>
      </w:r>
      <w:r w:rsidR="0074629B">
        <w:rPr>
          <w:rFonts w:ascii="Rockwell" w:hAnsi="Rockwell" w:cs="Arial"/>
          <w:color w:val="000000" w:themeColor="text1"/>
        </w:rPr>
        <w:t>Weeks</w:t>
      </w:r>
      <w:r w:rsidRPr="004165AB">
        <w:rPr>
          <w:rFonts w:ascii="Rockwell" w:hAnsi="Rockwell" w:cs="Arial"/>
          <w:color w:val="000000" w:themeColor="text1"/>
        </w:rPr>
        <w:t xml:space="preserve"> from the date receipt of Purchase order.</w:t>
      </w:r>
    </w:p>
    <w:p w:rsidR="00D44880" w:rsidRPr="000D00B1" w:rsidRDefault="00D44880" w:rsidP="00C5615D">
      <w:pPr>
        <w:numPr>
          <w:ilvl w:val="0"/>
          <w:numId w:val="5"/>
        </w:numPr>
        <w:spacing w:before="120" w:after="120" w:line="240" w:lineRule="auto"/>
        <w:jc w:val="both"/>
        <w:rPr>
          <w:rFonts w:ascii="Rockwell" w:hAnsi="Rockwell" w:cs="Arial"/>
          <w:b/>
          <w:color w:val="000000" w:themeColor="text1"/>
        </w:rPr>
      </w:pPr>
      <w:r w:rsidRPr="000D00B1">
        <w:rPr>
          <w:rFonts w:ascii="Rockwell" w:hAnsi="Rockwell" w:cs="Arial"/>
          <w:b/>
          <w:color w:val="000000" w:themeColor="text1"/>
        </w:rPr>
        <w:t>Bidder shall accept to send person to site for cutting of gaskets at site as per</w:t>
      </w:r>
      <w:r w:rsidR="00CA3389" w:rsidRPr="000D00B1">
        <w:rPr>
          <w:rFonts w:ascii="Rockwell" w:hAnsi="Rockwell" w:cs="Arial"/>
          <w:b/>
          <w:color w:val="000000" w:themeColor="text1"/>
        </w:rPr>
        <w:t xml:space="preserve"> required</w:t>
      </w:r>
      <w:r w:rsidRPr="000D00B1">
        <w:rPr>
          <w:rFonts w:ascii="Rockwell" w:hAnsi="Rockwell" w:cs="Arial"/>
          <w:b/>
          <w:color w:val="000000" w:themeColor="text1"/>
        </w:rPr>
        <w:t xml:space="preserve"> profile.</w:t>
      </w:r>
    </w:p>
    <w:p w:rsidR="00D02B90" w:rsidRPr="000D00B1" w:rsidRDefault="00D02B90" w:rsidP="00D02B90">
      <w:pPr>
        <w:spacing w:before="120" w:after="0" w:line="240" w:lineRule="auto"/>
        <w:ind w:left="1440"/>
        <w:jc w:val="both"/>
        <w:rPr>
          <w:rFonts w:ascii="Rockwell" w:hAnsi="Rockwell" w:cs="Arial"/>
          <w:b/>
          <w:color w:val="000000" w:themeColor="text1"/>
          <w:u w:val="single"/>
        </w:rPr>
      </w:pPr>
    </w:p>
    <w:p w:rsidR="00D02B90" w:rsidRPr="000D00B1" w:rsidRDefault="00D02B90" w:rsidP="00D02B90">
      <w:pPr>
        <w:spacing w:before="120" w:after="0" w:line="240" w:lineRule="auto"/>
        <w:ind w:left="1440"/>
        <w:jc w:val="both"/>
        <w:rPr>
          <w:rFonts w:ascii="Rockwell" w:hAnsi="Rockwell" w:cs="Arial"/>
          <w:b/>
          <w:color w:val="000000" w:themeColor="text1"/>
          <w:u w:val="single"/>
        </w:rPr>
      </w:pPr>
    </w:p>
    <w:p w:rsidR="00467188" w:rsidRPr="000D00B1" w:rsidRDefault="00EE1530" w:rsidP="009D3E56">
      <w:pPr>
        <w:spacing w:after="0" w:line="240" w:lineRule="auto"/>
        <w:ind w:firstLine="720"/>
        <w:rPr>
          <w:rFonts w:ascii="Rockwell" w:hAnsi="Rockwell" w:cs="Arial"/>
          <w:b/>
          <w:color w:val="000000" w:themeColor="text1"/>
          <w:u w:val="single"/>
        </w:rPr>
      </w:pPr>
      <w:r w:rsidRPr="000D00B1">
        <w:rPr>
          <w:rFonts w:ascii="Rockwell" w:hAnsi="Rockwell" w:cs="Arial"/>
          <w:b/>
          <w:color w:val="000000" w:themeColor="text1"/>
          <w:u w:val="single"/>
        </w:rPr>
        <w:t>Above required information s</w:t>
      </w:r>
      <w:r w:rsidR="00E553DE" w:rsidRPr="000D00B1">
        <w:rPr>
          <w:rFonts w:ascii="Rockwell" w:hAnsi="Rockwell" w:cs="Arial"/>
          <w:b/>
          <w:color w:val="000000" w:themeColor="text1"/>
          <w:u w:val="single"/>
        </w:rPr>
        <w:t>hall be furnished in Part I (Pre –Qualification Part)</w:t>
      </w:r>
    </w:p>
    <w:p w:rsidR="008668CA" w:rsidRPr="000D00B1" w:rsidRDefault="008668CA" w:rsidP="009D3E56">
      <w:pPr>
        <w:spacing w:after="0" w:line="240" w:lineRule="auto"/>
        <w:ind w:firstLine="720"/>
        <w:rPr>
          <w:rFonts w:ascii="Rockwell" w:hAnsi="Rockwell" w:cs="Arial"/>
          <w:b/>
          <w:color w:val="000000" w:themeColor="text1"/>
          <w:u w:val="single"/>
        </w:rPr>
      </w:pPr>
    </w:p>
    <w:p w:rsidR="00CA770C" w:rsidRPr="000D00B1" w:rsidRDefault="00CA770C" w:rsidP="00924506">
      <w:pPr>
        <w:spacing w:after="0" w:line="240" w:lineRule="auto"/>
        <w:jc w:val="center"/>
        <w:rPr>
          <w:rFonts w:ascii="Rockwell" w:hAnsi="Rockwell" w:cs="Arial"/>
          <w:b/>
          <w:color w:val="000000" w:themeColor="text1"/>
          <w:u w:val="single"/>
        </w:rPr>
      </w:pPr>
    </w:p>
    <w:p w:rsidR="001A2987" w:rsidRPr="000D00B1" w:rsidRDefault="00E307CE" w:rsidP="008D1EF2">
      <w:pPr>
        <w:spacing w:after="0" w:line="240" w:lineRule="auto"/>
        <w:ind w:left="4320"/>
        <w:jc w:val="both"/>
        <w:rPr>
          <w:rFonts w:ascii="Rockwell" w:hAnsi="Rockwell" w:cs="Arial"/>
          <w:color w:val="000000" w:themeColor="text1"/>
        </w:rPr>
      </w:pPr>
      <w:r w:rsidRPr="000D00B1">
        <w:rPr>
          <w:rFonts w:ascii="Rockwell" w:hAnsi="Rockwell" w:cs="Arial"/>
          <w:color w:val="000000" w:themeColor="text1"/>
        </w:rPr>
        <w:t xml:space="preserve">                           </w:t>
      </w:r>
      <w:r w:rsidR="001A2987" w:rsidRPr="000D00B1">
        <w:rPr>
          <w:rFonts w:ascii="Rockwell" w:hAnsi="Rockwell" w:cs="Arial"/>
          <w:color w:val="000000" w:themeColor="text1"/>
        </w:rPr>
        <w:t xml:space="preserve">                                                                                                                             </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BF27A9" w:rsidRPr="000D00B1" w:rsidRDefault="00926142" w:rsidP="004A7022">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9C5988" w:rsidRPr="00121A59" w:rsidRDefault="009C5988" w:rsidP="009C5988">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9C5988" w:rsidRPr="00121A59" w:rsidRDefault="009C5988" w:rsidP="009C5988">
      <w:pPr>
        <w:spacing w:after="0" w:line="240" w:lineRule="auto"/>
        <w:jc w:val="right"/>
        <w:rPr>
          <w:rFonts w:ascii="Rockwell" w:hAnsi="Rockwell" w:cs="Arial"/>
          <w:b/>
          <w:color w:val="000000" w:themeColor="text1"/>
        </w:rPr>
      </w:pPr>
    </w:p>
    <w:p w:rsidR="009C5988" w:rsidRPr="00121A59" w:rsidRDefault="009C5988" w:rsidP="009C5988">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cum Price Part) </w:t>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C5988" w:rsidRPr="00121A59" w:rsidRDefault="009C5988" w:rsidP="009C5988">
      <w:pPr>
        <w:spacing w:after="0" w:line="240" w:lineRule="auto"/>
        <w:jc w:val="center"/>
        <w:rPr>
          <w:rFonts w:ascii="Rockwell" w:hAnsi="Rockwell" w:cs="Arial"/>
          <w:b/>
          <w:color w:val="000000" w:themeColor="text1"/>
          <w:u w:val="single"/>
        </w:rPr>
      </w:pPr>
    </w:p>
    <w:p w:rsidR="009C5988" w:rsidRPr="00121A59" w:rsidRDefault="009C5988" w:rsidP="00C5615D">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9C5988" w:rsidRPr="00121A59" w:rsidRDefault="009C5988" w:rsidP="00C5615D">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9C5988" w:rsidRPr="00121A59" w:rsidRDefault="009C5988" w:rsidP="009C5988">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C5988" w:rsidRPr="00121A59" w:rsidRDefault="009C5988" w:rsidP="009C5988">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9C5988" w:rsidRPr="00121A59" w:rsidRDefault="009C5988" w:rsidP="00C5615D">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9C5988" w:rsidRPr="00121A59" w:rsidRDefault="009C5988" w:rsidP="009C5988">
      <w:pPr>
        <w:pStyle w:val="Default"/>
        <w:ind w:left="900"/>
        <w:jc w:val="both"/>
        <w:rPr>
          <w:rFonts w:ascii="Rockwell" w:hAnsi="Rockwell"/>
          <w:b/>
          <w:sz w:val="22"/>
          <w:szCs w:val="22"/>
          <w:u w:val="single"/>
        </w:rPr>
      </w:pPr>
    </w:p>
    <w:p w:rsidR="009C5988" w:rsidRPr="00121A59" w:rsidRDefault="009C5988" w:rsidP="00C5615D">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9C5988" w:rsidRPr="00121A59" w:rsidRDefault="009C5988" w:rsidP="009C5988">
      <w:pPr>
        <w:pStyle w:val="Default"/>
        <w:tabs>
          <w:tab w:val="left" w:pos="6019"/>
        </w:tabs>
        <w:ind w:left="720"/>
        <w:rPr>
          <w:rFonts w:ascii="Rockwell" w:hAnsi="Rockwell"/>
          <w:sz w:val="22"/>
          <w:szCs w:val="22"/>
        </w:rPr>
      </w:pPr>
      <w:r w:rsidRPr="00121A59">
        <w:rPr>
          <w:rFonts w:ascii="Rockwell" w:hAnsi="Rockwell"/>
          <w:sz w:val="22"/>
          <w:szCs w:val="22"/>
        </w:rPr>
        <w:tab/>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9C5988" w:rsidRPr="004165AB" w:rsidRDefault="009C5988" w:rsidP="00C5615D">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Pr>
          <w:rFonts w:ascii="Rockwell" w:hAnsi="Rockwell" w:cs="Arial"/>
          <w:color w:val="000000" w:themeColor="text1"/>
        </w:rPr>
        <w:t>2</w:t>
      </w:r>
      <w:r w:rsidRPr="004165AB">
        <w:rPr>
          <w:rFonts w:ascii="Rockwell" w:hAnsi="Rockwell" w:cs="Arial"/>
          <w:color w:val="000000" w:themeColor="text1"/>
        </w:rPr>
        <w:t xml:space="preserve"> </w:t>
      </w:r>
      <w:r>
        <w:rPr>
          <w:rFonts w:ascii="Rockwell" w:hAnsi="Rockwell" w:cs="Arial"/>
          <w:color w:val="000000" w:themeColor="text1"/>
        </w:rPr>
        <w:t>Weeks</w:t>
      </w:r>
      <w:r w:rsidRPr="004165AB">
        <w:rPr>
          <w:rFonts w:ascii="Rockwell" w:hAnsi="Rockwell" w:cs="Arial"/>
          <w:color w:val="000000" w:themeColor="text1"/>
        </w:rPr>
        <w:t xml:space="preserve">  from the date receipt of purchase order</w:t>
      </w:r>
    </w:p>
    <w:p w:rsidR="009C5988" w:rsidRPr="00AF47AD"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9C5988" w:rsidRPr="00121A59" w:rsidRDefault="009C5988" w:rsidP="00C5615D">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Kms from PULIVENDULA, NEAR AMD CAMP, P.O. MABBUCHINTALAPALLE, VEMULA (M), YSR (KADAPA) DIST - 516349, ANDHRA PRADESH). </w:t>
      </w:r>
    </w:p>
    <w:p w:rsidR="009C5988" w:rsidRPr="00121A59" w:rsidRDefault="009C5988" w:rsidP="00C5615D">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9C5988" w:rsidRPr="00121A59" w:rsidRDefault="009C5988" w:rsidP="00C5615D">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9C5988" w:rsidRPr="00121A59" w:rsidRDefault="009C5988" w:rsidP="00C5615D">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Security deposit may be recovered while releasing the first payment to the party in case the same is not deposited by the supplier.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Supplier/Contractor is also permitted to furnish BG in favour of Uranium Corporation of India Ltd. in the prescribed format towards security deposit.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9C5988" w:rsidRPr="00121A59" w:rsidRDefault="009C5988" w:rsidP="009C5988">
      <w:pPr>
        <w:pStyle w:val="Default"/>
        <w:ind w:left="810"/>
        <w:jc w:val="both"/>
        <w:rPr>
          <w:rFonts w:ascii="Rockwell" w:hAnsi="Rockwell" w:cs="Times New Roman"/>
          <w:sz w:val="22"/>
          <w:szCs w:val="22"/>
        </w:rPr>
      </w:pPr>
    </w:p>
    <w:p w:rsidR="009C5988" w:rsidRPr="00121A59" w:rsidRDefault="009C5988" w:rsidP="009C5988">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favour of UCIL, without any further notice to the contractor in the following circumstance: </w:t>
      </w:r>
    </w:p>
    <w:p w:rsidR="009C5988" w:rsidRPr="00121A59" w:rsidRDefault="009C5988" w:rsidP="009C5988">
      <w:pPr>
        <w:pStyle w:val="Default"/>
        <w:ind w:left="810"/>
        <w:jc w:val="both"/>
        <w:rPr>
          <w:rFonts w:ascii="Rockwell" w:hAnsi="Rockwell" w:cs="Times New Roman"/>
          <w:sz w:val="22"/>
          <w:szCs w:val="22"/>
        </w:rPr>
      </w:pPr>
    </w:p>
    <w:p w:rsidR="009C5988" w:rsidRPr="00121A59" w:rsidRDefault="009C5988" w:rsidP="00C5615D">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9C5988" w:rsidRPr="00121A59" w:rsidRDefault="009C5988" w:rsidP="00C5615D">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9C5988" w:rsidRPr="00121A59" w:rsidRDefault="009C5988" w:rsidP="009C5988">
      <w:pPr>
        <w:spacing w:after="0" w:line="240" w:lineRule="auto"/>
        <w:ind w:left="450"/>
        <w:jc w:val="both"/>
        <w:rPr>
          <w:rFonts w:ascii="Rockwell" w:hAnsi="Rockwell"/>
        </w:rPr>
      </w:pPr>
    </w:p>
    <w:p w:rsidR="009C5988" w:rsidRPr="00121A59" w:rsidRDefault="009C5988" w:rsidP="00C5615D">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Bank guarantees wherever stipulated should be as per our Proforma attached &amp; should issued by an Indian Nationalized bank/scheduled commercial bank.</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9C5988" w:rsidRPr="00121A59" w:rsidRDefault="009C5988" w:rsidP="009C5988">
      <w:pPr>
        <w:pStyle w:val="Default"/>
        <w:jc w:val="both"/>
        <w:rPr>
          <w:rFonts w:ascii="Rockwell" w:hAnsi="Rockwell"/>
          <w:sz w:val="22"/>
          <w:szCs w:val="22"/>
        </w:rPr>
      </w:pPr>
    </w:p>
    <w:p w:rsidR="009C5988" w:rsidRPr="00121A59" w:rsidRDefault="009C5988" w:rsidP="00C5615D">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9C5988" w:rsidRPr="00121A59" w:rsidRDefault="009C5988" w:rsidP="009C5988">
      <w:pPr>
        <w:ind w:left="450"/>
        <w:jc w:val="both"/>
        <w:rPr>
          <w:rFonts w:ascii="Rockwell" w:hAnsi="Rockwell"/>
        </w:rPr>
      </w:pPr>
    </w:p>
    <w:p w:rsidR="009C5988" w:rsidRPr="00121A59" w:rsidRDefault="009C5988" w:rsidP="009C5988">
      <w:pPr>
        <w:pStyle w:val="Default"/>
        <w:spacing w:after="15"/>
        <w:ind w:left="720" w:hanging="270"/>
        <w:jc w:val="both"/>
        <w:rPr>
          <w:rFonts w:ascii="Rockwell" w:hAnsi="Rockwell" w:cs="Times New Roman"/>
          <w:sz w:val="22"/>
          <w:szCs w:val="22"/>
        </w:rPr>
      </w:pPr>
      <w:r w:rsidRPr="00121A59">
        <w:rPr>
          <w:rFonts w:ascii="Rockwell" w:hAnsi="Rockwell" w:cs="Times New Roman"/>
          <w:b/>
          <w:bCs/>
          <w:sz w:val="22"/>
          <w:szCs w:val="22"/>
        </w:rPr>
        <w:t>i)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9C5988" w:rsidRPr="00121A59" w:rsidRDefault="009C5988" w:rsidP="009C5988">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in case of more than one MSME SC/ST entrepreneurs, order for supply of 4% out of 25% of the tendered quantity shall be divided equally amongst them provided they agree to accept L1 rate/price. </w:t>
      </w: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9C5988" w:rsidRPr="00121A59" w:rsidRDefault="009C5988" w:rsidP="009C5988">
      <w:pPr>
        <w:pStyle w:val="Default"/>
        <w:ind w:left="720" w:hanging="270"/>
        <w:jc w:val="both"/>
        <w:rPr>
          <w:rFonts w:ascii="Rockwell" w:hAnsi="Rockwell"/>
          <w:sz w:val="22"/>
          <w:szCs w:val="22"/>
        </w:rPr>
      </w:pP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9C5988" w:rsidRPr="00121A59" w:rsidRDefault="009C5988" w:rsidP="009C5988">
      <w:pPr>
        <w:pStyle w:val="Default"/>
        <w:ind w:left="720" w:hanging="270"/>
        <w:jc w:val="both"/>
        <w:rPr>
          <w:rFonts w:ascii="Rockwell" w:hAnsi="Rockwell"/>
          <w:sz w:val="22"/>
          <w:szCs w:val="22"/>
        </w:rPr>
      </w:pPr>
    </w:p>
    <w:p w:rsidR="009C5988" w:rsidRPr="00121A59" w:rsidRDefault="009C5988" w:rsidP="009C5988">
      <w:pPr>
        <w:pStyle w:val="Default"/>
        <w:ind w:left="720" w:hanging="270"/>
        <w:jc w:val="both"/>
        <w:rPr>
          <w:rFonts w:ascii="Rockwell" w:hAnsi="Rockwell" w:cs="Times New Roman"/>
          <w:sz w:val="22"/>
          <w:szCs w:val="22"/>
        </w:rPr>
      </w:pPr>
    </w:p>
    <w:p w:rsidR="009C5988" w:rsidRPr="00121A59" w:rsidRDefault="009C5988" w:rsidP="00C5615D">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9C5988" w:rsidRPr="00121A59" w:rsidRDefault="009C5988" w:rsidP="009C5988">
      <w:pPr>
        <w:pStyle w:val="ListParagraph"/>
        <w:spacing w:after="0" w:line="240" w:lineRule="auto"/>
        <w:ind w:left="810" w:hanging="360"/>
        <w:jc w:val="both"/>
        <w:rPr>
          <w:rFonts w:ascii="Rockwell" w:hAnsi="Rockwell"/>
        </w:rPr>
      </w:pPr>
    </w:p>
    <w:p w:rsidR="009C5988" w:rsidRPr="00F64013" w:rsidRDefault="009C5988" w:rsidP="009C5988">
      <w:pPr>
        <w:pStyle w:val="ListParagraph"/>
        <w:tabs>
          <w:tab w:val="left" w:pos="810"/>
        </w:tabs>
        <w:spacing w:before="120" w:after="120" w:line="240" w:lineRule="auto"/>
        <w:ind w:left="630"/>
        <w:jc w:val="both"/>
        <w:rPr>
          <w:rFonts w:ascii="Rockwell" w:hAnsi="Rockwell" w:cs="Arial"/>
        </w:rPr>
      </w:pPr>
    </w:p>
    <w:p w:rsidR="009C5988" w:rsidRPr="00121A59" w:rsidRDefault="009C5988" w:rsidP="00C5615D">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 xml:space="preserve">LIQUIDATED DAMAGE (LD) </w:t>
      </w:r>
      <w:r w:rsidRPr="00121A59">
        <w:rPr>
          <w:rFonts w:ascii="Rockwell" w:hAnsi="Rockwell" w:cs="Arial"/>
        </w:rPr>
        <w:t>: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9C5988" w:rsidRPr="00121A59" w:rsidRDefault="009C5988" w:rsidP="009C5988">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9C5988" w:rsidRPr="00121A59" w:rsidRDefault="009C5988" w:rsidP="009C5988">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9C5988" w:rsidRPr="00121A59" w:rsidRDefault="009C5988" w:rsidP="009C5988">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9C5988" w:rsidRPr="00121A59" w:rsidRDefault="009C5988" w:rsidP="009C5988">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'Class-I  local supplier', as defined under the Order, shall be eligible to bid irrespective of purchase value.</w:t>
      </w:r>
    </w:p>
    <w:p w:rsidR="009C5988" w:rsidRPr="00121A59" w:rsidRDefault="009C5988" w:rsidP="009C5988">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9C5988" w:rsidRPr="00121A59" w:rsidRDefault="009C5988" w:rsidP="009C5988">
      <w:pPr>
        <w:pStyle w:val="ListParagraph"/>
        <w:spacing w:after="0" w:line="240" w:lineRule="auto"/>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2  and which are divisible in nature. </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2  and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If L1 is not class-I local supplier, the lowest bidder among the class-I local supplier, will be invited to match the L1 price subject to class-I local supplier’s quoted price falling </w:t>
      </w:r>
      <w:r w:rsidRPr="00121A59">
        <w:rPr>
          <w:rFonts w:ascii="Rockwell" w:hAnsi="Rockwell" w:cs="Arial"/>
        </w:rPr>
        <w:lastRenderedPageBreak/>
        <w:t>within the margin of purchase preference, and the contract shall be awarded to such Class-I local supplier subject to matching the L1- Price.</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9C5988" w:rsidRPr="00121A59" w:rsidRDefault="009C5988" w:rsidP="009C5988">
      <w:pPr>
        <w:pStyle w:val="ListParagraph"/>
        <w:spacing w:after="0" w:line="240" w:lineRule="auto"/>
        <w:ind w:left="0" w:firstLine="72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9C5988" w:rsidRPr="00121A59" w:rsidRDefault="009C5988" w:rsidP="009C5988">
      <w:pPr>
        <w:pStyle w:val="ListParagraph"/>
        <w:spacing w:after="0" w:line="240" w:lineRule="auto"/>
        <w:ind w:left="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9C5988" w:rsidRPr="00121A59" w:rsidRDefault="009C5988" w:rsidP="009C5988">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9C5988" w:rsidRPr="00121A59" w:rsidRDefault="009C5988" w:rsidP="009C5988">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9C5988" w:rsidRPr="00121A59" w:rsidRDefault="009C5988" w:rsidP="009C5988">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9C5988" w:rsidRPr="00121A59" w:rsidRDefault="009C5988" w:rsidP="00C5615D">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9C5988" w:rsidRPr="00121A59" w:rsidRDefault="009C5988" w:rsidP="009C5988">
      <w:pPr>
        <w:pStyle w:val="BodyTextIndent2"/>
        <w:tabs>
          <w:tab w:val="left" w:pos="720"/>
        </w:tabs>
        <w:spacing w:after="0" w:line="240" w:lineRule="auto"/>
        <w:jc w:val="both"/>
        <w:rPr>
          <w:rFonts w:ascii="Rockwell" w:hAnsi="Rockwell" w:cs="Arial"/>
          <w:bCs/>
        </w:rPr>
      </w:pPr>
    </w:p>
    <w:p w:rsidR="009C5988" w:rsidRPr="00121A59" w:rsidRDefault="009C5988" w:rsidP="009C5988">
      <w:pPr>
        <w:pStyle w:val="BodyTextIndent2"/>
        <w:tabs>
          <w:tab w:val="left" w:pos="720"/>
        </w:tabs>
        <w:spacing w:after="0" w:line="240" w:lineRule="auto"/>
        <w:jc w:val="both"/>
        <w:rPr>
          <w:rFonts w:ascii="Rockwell" w:hAnsi="Rockwell" w:cs="Arial"/>
          <w:bCs/>
        </w:rPr>
      </w:pPr>
    </w:p>
    <w:p w:rsidR="009C5988" w:rsidRPr="00121A59" w:rsidRDefault="009C5988" w:rsidP="009C5988">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lastRenderedPageBreak/>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9C5988" w:rsidRPr="00121A59" w:rsidRDefault="009C5988" w:rsidP="009C5988">
      <w:pPr>
        <w:pStyle w:val="BodyTextIndent2"/>
        <w:tabs>
          <w:tab w:val="left" w:pos="720"/>
        </w:tabs>
        <w:spacing w:after="0" w:line="240" w:lineRule="auto"/>
        <w:ind w:left="1008"/>
        <w:jc w:val="both"/>
        <w:rPr>
          <w:rFonts w:ascii="Rockwell" w:hAnsi="Rockwell" w:cs="Arial"/>
          <w:bCs/>
        </w:rPr>
      </w:pP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t xml:space="preserve">Definitions, margin of preference and all other terms as per </w:t>
      </w:r>
      <w:r w:rsidRPr="00121A59">
        <w:rPr>
          <w:rFonts w:ascii="Rockwell" w:hAnsi="Rockwell" w:cs="Arial"/>
          <w:b/>
          <w:bCs/>
        </w:rPr>
        <w:t>Ministry of Commerce and Industry, Department of promotion of Industry and Internal trade (Public procurement section) office order No. P-45021/2/2017-PP (BE-II) dated 16/09/2020.</w:t>
      </w:r>
    </w:p>
    <w:p w:rsidR="009C5988" w:rsidRPr="00121A59" w:rsidRDefault="009C5988" w:rsidP="009C5988">
      <w:pPr>
        <w:pStyle w:val="ListParagraph"/>
        <w:spacing w:after="0" w:line="240" w:lineRule="auto"/>
        <w:ind w:left="810" w:hanging="360"/>
        <w:jc w:val="both"/>
        <w:rPr>
          <w:rFonts w:ascii="Rockwell" w:hAnsi="Rockwell" w:cs="Arial"/>
        </w:rPr>
      </w:pPr>
    </w:p>
    <w:p w:rsidR="009C5988" w:rsidRPr="00121A59" w:rsidRDefault="009C5988" w:rsidP="009C5988">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9C5988" w:rsidRPr="00121A59" w:rsidRDefault="009C5988" w:rsidP="009C5988">
      <w:pPr>
        <w:spacing w:after="0" w:line="240" w:lineRule="auto"/>
        <w:ind w:left="810" w:hanging="360"/>
        <w:jc w:val="both"/>
        <w:rPr>
          <w:rFonts w:ascii="Rockwell" w:hAnsi="Rockwell" w:cs="Arial"/>
          <w:bCs/>
        </w:rPr>
      </w:pPr>
    </w:p>
    <w:p w:rsidR="009C5988" w:rsidRPr="00121A59" w:rsidRDefault="009C5988" w:rsidP="009C5988">
      <w:pPr>
        <w:spacing w:after="0" w:line="240" w:lineRule="auto"/>
        <w:ind w:left="450"/>
        <w:jc w:val="both"/>
        <w:rPr>
          <w:rFonts w:ascii="Rockwell" w:hAnsi="Rockwell" w:cs="Times New Roman"/>
        </w:rPr>
      </w:pPr>
    </w:p>
    <w:p w:rsidR="009C5988" w:rsidRPr="00663DFA" w:rsidRDefault="009C5988" w:rsidP="00C5615D">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9C5988" w:rsidRPr="00121A59" w:rsidRDefault="009C5988" w:rsidP="009C5988">
      <w:pPr>
        <w:spacing w:after="0" w:line="240" w:lineRule="auto"/>
        <w:ind w:left="450"/>
        <w:jc w:val="both"/>
        <w:rPr>
          <w:rFonts w:ascii="Rockwell" w:hAnsi="Rockwell"/>
        </w:rPr>
      </w:pPr>
    </w:p>
    <w:p w:rsidR="009C5988" w:rsidRPr="00121A59" w:rsidRDefault="009C5988" w:rsidP="009C5988">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9C5988" w:rsidRPr="00121A59" w:rsidRDefault="009C5988" w:rsidP="009C5988">
      <w:pPr>
        <w:pStyle w:val="Default"/>
        <w:rPr>
          <w:rFonts w:ascii="Rockwell" w:hAnsi="Rockwell" w:cs="Times New Roman"/>
          <w:sz w:val="22"/>
          <w:szCs w:val="22"/>
        </w:rPr>
      </w:pPr>
    </w:p>
    <w:p w:rsidR="009C5988" w:rsidRPr="00663DFA" w:rsidRDefault="009C5988" w:rsidP="00C5615D">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9C5988" w:rsidRPr="00121A59" w:rsidRDefault="009C5988" w:rsidP="009C598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9C5988" w:rsidRDefault="009C5988" w:rsidP="009C5988">
      <w:pPr>
        <w:numPr>
          <w:ilvl w:val="0"/>
          <w:numId w:val="14"/>
        </w:numPr>
        <w:spacing w:after="0" w:line="240" w:lineRule="auto"/>
        <w:ind w:left="450"/>
        <w:jc w:val="both"/>
        <w:rPr>
          <w:rFonts w:ascii="Rockwell" w:hAnsi="Rockwell"/>
        </w:rPr>
      </w:pPr>
      <w:r w:rsidRPr="00D84333">
        <w:rPr>
          <w:rFonts w:ascii="Rockwell" w:hAnsi="Rockwell" w:cs="Helvetica-Bold"/>
          <w:b/>
          <w:bCs/>
          <w:u w:val="single"/>
        </w:rPr>
        <w:t>J</w:t>
      </w:r>
      <w:r w:rsidRPr="00D84333">
        <w:rPr>
          <w:rFonts w:ascii="Rockwell" w:hAnsi="Rockwell"/>
          <w:b/>
          <w:bCs/>
          <w:u w:val="single"/>
        </w:rPr>
        <w:t>URISDICTION</w:t>
      </w:r>
      <w:r w:rsidRPr="00D84333">
        <w:rPr>
          <w:rFonts w:ascii="Rockwell" w:hAnsi="Rockwell" w:cs="Helvetica-Bold"/>
          <w:b/>
          <w:bCs/>
        </w:rPr>
        <w:t xml:space="preserve">: </w:t>
      </w:r>
      <w:r w:rsidRPr="00D84333">
        <w:rPr>
          <w:rFonts w:ascii="Rockwell" w:hAnsi="Rockwell"/>
        </w:rPr>
        <w:t>The courts within the local limits of whose jurisdiction the place from which the</w:t>
      </w:r>
      <w:r w:rsidR="00D84333" w:rsidRPr="00D84333">
        <w:rPr>
          <w:rFonts w:ascii="Rockwell" w:hAnsi="Rockwell"/>
        </w:rPr>
        <w:t xml:space="preserve"> </w:t>
      </w:r>
      <w:r w:rsidRPr="00D84333">
        <w:rPr>
          <w:rFonts w:ascii="Rockwell" w:hAnsi="Rockwell"/>
        </w:rPr>
        <w:t>purchase order is issued is situated only shall, subject to Arbitration Clause, have jurisdiction to deal with and decide any matter arising out of this contract</w:t>
      </w:r>
    </w:p>
    <w:p w:rsidR="00D84333" w:rsidRPr="00D84333" w:rsidRDefault="00D84333" w:rsidP="00D84333">
      <w:pPr>
        <w:spacing w:after="0" w:line="240" w:lineRule="auto"/>
        <w:ind w:left="450"/>
        <w:jc w:val="both"/>
        <w:rPr>
          <w:rFonts w:ascii="Rockwell" w:hAnsi="Rockwell"/>
        </w:rPr>
      </w:pPr>
    </w:p>
    <w:p w:rsidR="009C5988" w:rsidRPr="00121A59" w:rsidRDefault="00D84333" w:rsidP="00D84333">
      <w:pPr>
        <w:numPr>
          <w:ilvl w:val="0"/>
          <w:numId w:val="14"/>
        </w:numPr>
        <w:spacing w:after="0" w:line="240" w:lineRule="auto"/>
        <w:ind w:left="450"/>
        <w:jc w:val="both"/>
        <w:rPr>
          <w:rFonts w:ascii="Rockwell" w:hAnsi="Rockwell"/>
          <w:b/>
          <w:u w:val="single"/>
        </w:rPr>
      </w:pPr>
      <w:r>
        <w:rPr>
          <w:rFonts w:ascii="Rockwell" w:hAnsi="Rockwell"/>
          <w:b/>
          <w:u w:val="single"/>
        </w:rPr>
        <w:t xml:space="preserve"> </w:t>
      </w:r>
      <w:r w:rsidR="009C5988" w:rsidRPr="00121A59">
        <w:rPr>
          <w:rFonts w:ascii="Rockwell" w:hAnsi="Rockwell"/>
          <w:b/>
          <w:u w:val="single"/>
        </w:rPr>
        <w:t xml:space="preserve">ARBITRATION: </w:t>
      </w:r>
    </w:p>
    <w:p w:rsidR="009C5988" w:rsidRPr="00121A59" w:rsidRDefault="009C5988" w:rsidP="009C5988">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9C5988" w:rsidRPr="00121A59" w:rsidRDefault="009C5988" w:rsidP="009C5988">
      <w:pPr>
        <w:ind w:left="432"/>
        <w:jc w:val="both"/>
        <w:rPr>
          <w:rFonts w:ascii="Rockwell" w:hAnsi="Rockwell"/>
          <w:b/>
          <w:u w:val="single"/>
        </w:rPr>
      </w:pPr>
    </w:p>
    <w:p w:rsidR="009C5988" w:rsidRPr="00121A59" w:rsidRDefault="009C5988" w:rsidP="009C5988">
      <w:pPr>
        <w:spacing w:after="0" w:line="240" w:lineRule="auto"/>
        <w:ind w:left="810" w:hanging="360"/>
        <w:jc w:val="both"/>
        <w:rPr>
          <w:rFonts w:ascii="Rockwell" w:hAnsi="Rockwell" w:cs="Arial"/>
          <w:b/>
          <w:u w:val="single"/>
        </w:rPr>
      </w:pPr>
      <w:r w:rsidRPr="00121A59">
        <w:rPr>
          <w:rFonts w:ascii="Rockwell" w:hAnsi="Rockwell" w:cs="Arial"/>
        </w:rPr>
        <w:lastRenderedPageBreak/>
        <w:t>2</w:t>
      </w:r>
      <w:r>
        <w:rPr>
          <w:rFonts w:ascii="Rockwell" w:hAnsi="Rockwell" w:cs="Arial"/>
        </w:rPr>
        <w:t>5</w:t>
      </w:r>
      <w:r w:rsidRPr="00121A59">
        <w:rPr>
          <w:rFonts w:ascii="Rockwell" w:hAnsi="Rockwell" w:cs="Arial"/>
        </w:rPr>
        <w:t>)  Other Terms &amp; conditions as in “Instructions to Tenderers &amp; General conditions of contract” (enclosed) shall also apply. However in case of any contradiction between above terms &amp; conditions and General conditions of contract then above terms &amp; conditions shall prevail.</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9C5988">
      <w:pPr>
        <w:spacing w:after="0" w:line="240" w:lineRule="auto"/>
        <w:ind w:left="810" w:hanging="360"/>
        <w:jc w:val="both"/>
        <w:rPr>
          <w:rFonts w:ascii="Rockwell" w:hAnsi="Rockwell" w:cs="Arial"/>
        </w:rPr>
      </w:pPr>
      <w:r w:rsidRPr="00121A59">
        <w:rPr>
          <w:rFonts w:ascii="Rockwell" w:hAnsi="Rockwell" w:cs="Arial"/>
          <w:bCs/>
        </w:rPr>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9C5988" w:rsidRPr="00121A59" w:rsidRDefault="009C5988" w:rsidP="009C5988">
      <w:pPr>
        <w:autoSpaceDE w:val="0"/>
        <w:autoSpaceDN w:val="0"/>
        <w:adjustRightInd w:val="0"/>
        <w:spacing w:after="15" w:line="240" w:lineRule="auto"/>
        <w:rPr>
          <w:rFonts w:ascii="Rockwell" w:hAnsi="Rockwell"/>
          <w:color w:val="000000"/>
        </w:rPr>
      </w:pPr>
    </w:p>
    <w:p w:rsidR="009C5988" w:rsidRPr="00E1576F" w:rsidRDefault="009C5988" w:rsidP="00C5615D">
      <w:pPr>
        <w:pStyle w:val="ListParagraph"/>
        <w:numPr>
          <w:ilvl w:val="0"/>
          <w:numId w:val="15"/>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C5988" w:rsidRPr="00121A59" w:rsidRDefault="009C5988" w:rsidP="009C5988">
      <w:pPr>
        <w:pStyle w:val="ListParagraph"/>
        <w:rPr>
          <w:rFonts w:ascii="Rockwell" w:hAnsi="Rockwell" w:cs="Arial"/>
          <w:color w:val="000000" w:themeColor="text1"/>
        </w:rPr>
      </w:pP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Palle, </w:t>
      </w:r>
      <w:r w:rsidRPr="00121A59">
        <w:rPr>
          <w:rFonts w:ascii="Rockwell" w:hAnsi="Rockwell" w:cs="Arial"/>
          <w:b/>
          <w:color w:val="000000" w:themeColor="text1"/>
        </w:rPr>
        <w:t>Mandal: Vemula</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District: YSR Kadapa District</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9C5988" w:rsidRPr="00121A59" w:rsidRDefault="009C5988" w:rsidP="009C5988">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9C5988" w:rsidRPr="00121A59" w:rsidRDefault="009C5988" w:rsidP="009C5988">
      <w:pPr>
        <w:pStyle w:val="ListParagraph"/>
        <w:spacing w:after="0" w:line="240" w:lineRule="auto"/>
        <w:jc w:val="both"/>
        <w:rPr>
          <w:rFonts w:ascii="Rockwell" w:hAnsi="Rockwell" w:cs="Arial"/>
          <w:b/>
          <w:color w:val="000000" w:themeColor="text1"/>
        </w:rPr>
      </w:pPr>
    </w:p>
    <w:p w:rsidR="009C5988" w:rsidRPr="00121A59" w:rsidRDefault="009C5988" w:rsidP="00C5615D">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9C5988" w:rsidRPr="00121A59" w:rsidRDefault="009C5988" w:rsidP="009C5988">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As per Government guideline, It is mandatory for all CPSE, MSME Vendors to register them self on TReDS Portal. Details of contact persons, Phone No., Email Id is given below for TReDS registration.</w:t>
      </w:r>
    </w:p>
    <w:p w:rsidR="009C5988" w:rsidRPr="00121A59" w:rsidRDefault="009C5988" w:rsidP="009C5988">
      <w:pPr>
        <w:pStyle w:val="PlainText"/>
        <w:tabs>
          <w:tab w:val="left" w:pos="720"/>
        </w:tabs>
        <w:ind w:left="720" w:hanging="360"/>
        <w:rPr>
          <w:rFonts w:ascii="Rockwell" w:hAnsi="Rockwell" w:cs="Arial"/>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Mr. Rudra Prasad Nag (Relationship Manager-EAST) : Mobile No. 8232988780</w:t>
      </w:r>
    </w:p>
    <w:p w:rsidR="009C5988" w:rsidRPr="00121A59" w:rsidRDefault="009C5988" w:rsidP="009C5988">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9" w:history="1">
        <w:r w:rsidRPr="00121A59">
          <w:rPr>
            <w:rStyle w:val="Hyperlink"/>
            <w:rFonts w:ascii="Rockwell" w:hAnsi="Rockwell" w:cs="Arial"/>
            <w:b/>
            <w:sz w:val="22"/>
            <w:szCs w:val="22"/>
          </w:rPr>
          <w:t>Rudra.Nag@invoicemart.com</w:t>
        </w:r>
      </w:hyperlink>
    </w:p>
    <w:p w:rsidR="009C5988" w:rsidRPr="00121A59" w:rsidRDefault="009C5988" w:rsidP="009C5988">
      <w:pPr>
        <w:pStyle w:val="PlainText"/>
        <w:ind w:left="540" w:firstLine="180"/>
        <w:jc w:val="both"/>
        <w:rPr>
          <w:rStyle w:val="Hyperlink"/>
          <w:rFonts w:ascii="Rockwell" w:hAnsi="Rockwell" w:cs="Arial"/>
          <w:b/>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All MSME vendors may avail the facilities of TReDS platform and settle their bills through TReDS.</w:t>
      </w:r>
    </w:p>
    <w:p w:rsidR="00077EA2" w:rsidRDefault="00077EA2" w:rsidP="009102F8">
      <w:pPr>
        <w:pStyle w:val="ListParagraph"/>
        <w:spacing w:after="0" w:line="240" w:lineRule="auto"/>
        <w:jc w:val="both"/>
        <w:rPr>
          <w:rFonts w:asciiTheme="majorHAnsi" w:hAnsiTheme="majorHAnsi" w:cs="Arial"/>
          <w:b/>
          <w:color w:val="000000" w:themeColor="text1"/>
        </w:rPr>
      </w:pPr>
    </w:p>
    <w:p w:rsidR="00D84333" w:rsidRDefault="00D84333" w:rsidP="009102F8">
      <w:pPr>
        <w:pStyle w:val="ListParagraph"/>
        <w:spacing w:after="0" w:line="240" w:lineRule="auto"/>
        <w:jc w:val="both"/>
        <w:rPr>
          <w:rFonts w:asciiTheme="majorHAnsi" w:hAnsiTheme="majorHAnsi" w:cs="Arial"/>
          <w:b/>
          <w:color w:val="000000" w:themeColor="text1"/>
        </w:rPr>
      </w:pPr>
    </w:p>
    <w:p w:rsidR="00D84333" w:rsidRPr="008668CA" w:rsidRDefault="00D84333" w:rsidP="009102F8">
      <w:pPr>
        <w:pStyle w:val="ListParagraph"/>
        <w:spacing w:after="0" w:line="240" w:lineRule="auto"/>
        <w:jc w:val="both"/>
        <w:rPr>
          <w:rFonts w:asciiTheme="majorHAnsi" w:hAnsiTheme="majorHAnsi" w:cs="Arial"/>
          <w:b/>
          <w:color w:val="000000" w:themeColor="text1"/>
        </w:rPr>
      </w:pPr>
    </w:p>
    <w:p w:rsidR="009C5988" w:rsidRPr="000D00B1" w:rsidRDefault="009102F8" w:rsidP="009C5988">
      <w:pPr>
        <w:spacing w:after="0" w:line="360" w:lineRule="auto"/>
        <w:ind w:left="4320"/>
        <w:jc w:val="right"/>
        <w:rPr>
          <w:rFonts w:ascii="Rockwell" w:hAnsi="Rockwell" w:cs="Arial"/>
          <w:b/>
          <w:bCs/>
          <w:color w:val="000000" w:themeColor="text1"/>
        </w:rPr>
      </w:pPr>
      <w:r w:rsidRPr="008668CA">
        <w:rPr>
          <w:rFonts w:asciiTheme="majorHAnsi" w:hAnsiTheme="majorHAnsi" w:cs="Arial"/>
          <w:color w:val="000000" w:themeColor="text1"/>
        </w:rPr>
        <w:tab/>
      </w:r>
      <w:r w:rsidR="009C5988"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6A0117" w:rsidRPr="008668CA" w:rsidRDefault="006A0117" w:rsidP="009C5988">
      <w:pPr>
        <w:spacing w:after="0" w:line="360" w:lineRule="auto"/>
        <w:ind w:left="4320"/>
        <w:jc w:val="right"/>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DE0BE5" w:rsidRPr="009C5988" w:rsidRDefault="00DE0BE5" w:rsidP="009C5988">
      <w:pPr>
        <w:spacing w:after="0" w:line="240" w:lineRule="auto"/>
        <w:ind w:left="7200"/>
        <w:jc w:val="both"/>
        <w:rPr>
          <w:rFonts w:ascii="Rockwell" w:hAnsi="Rockwell" w:cs="Arial"/>
          <w:b/>
          <w:color w:val="000000" w:themeColor="text1"/>
          <w:sz w:val="32"/>
          <w:szCs w:val="32"/>
          <w:u w:val="single"/>
        </w:rPr>
      </w:pPr>
      <w:r w:rsidRPr="009C5988">
        <w:rPr>
          <w:rFonts w:ascii="Rockwell" w:hAnsi="Rockwell" w:cs="Arial"/>
          <w:b/>
          <w:color w:val="000000" w:themeColor="text1"/>
          <w:sz w:val="32"/>
          <w:szCs w:val="32"/>
        </w:rPr>
        <w:t xml:space="preserve">                                           </w:t>
      </w:r>
      <w:r w:rsidR="00514CE6" w:rsidRPr="009C5988">
        <w:rPr>
          <w:rFonts w:ascii="Rockwell" w:hAnsi="Rockwell" w:cs="Arial"/>
          <w:b/>
          <w:color w:val="000000" w:themeColor="text1"/>
          <w:sz w:val="32"/>
          <w:szCs w:val="32"/>
        </w:rPr>
        <w:t xml:space="preserve">                  </w:t>
      </w:r>
      <w:r w:rsidRPr="009C5988">
        <w:rPr>
          <w:rFonts w:ascii="Rockwell" w:hAnsi="Rockwell" w:cs="Arial"/>
          <w:b/>
          <w:color w:val="000000" w:themeColor="text1"/>
          <w:sz w:val="32"/>
          <w:szCs w:val="32"/>
          <w:u w:val="single"/>
        </w:rPr>
        <w:t>Annexure-3</w:t>
      </w:r>
    </w:p>
    <w:p w:rsidR="00514CE6" w:rsidRPr="009C5988" w:rsidRDefault="00514CE6" w:rsidP="00E307CE">
      <w:pPr>
        <w:spacing w:after="0" w:line="240" w:lineRule="auto"/>
        <w:ind w:left="4320"/>
        <w:jc w:val="both"/>
        <w:rPr>
          <w:rFonts w:ascii="Rockwell" w:hAnsi="Rockwell" w:cs="Arial"/>
          <w:b/>
          <w:color w:val="000000" w:themeColor="text1"/>
          <w:u w:val="single"/>
        </w:rPr>
      </w:pPr>
    </w:p>
    <w:p w:rsidR="00514CE6" w:rsidRPr="009C5988" w:rsidRDefault="00514CE6" w:rsidP="00514CE6">
      <w:pPr>
        <w:spacing w:after="0" w:line="240" w:lineRule="auto"/>
        <w:jc w:val="both"/>
        <w:rPr>
          <w:rFonts w:ascii="Rockwell" w:hAnsi="Rockwell" w:cs="Arial"/>
          <w:b/>
          <w:color w:val="000000" w:themeColor="text1"/>
          <w:u w:val="single"/>
        </w:rPr>
      </w:pPr>
    </w:p>
    <w:p w:rsidR="00022CBE" w:rsidRPr="009C5988" w:rsidRDefault="00022CBE" w:rsidP="00022CBE">
      <w:pPr>
        <w:spacing w:after="0" w:line="240" w:lineRule="auto"/>
        <w:jc w:val="both"/>
        <w:rPr>
          <w:rFonts w:ascii="Rockwell" w:hAnsi="Rockwell" w:cs="Arial"/>
          <w:b/>
          <w:color w:val="000000" w:themeColor="text1"/>
          <w:u w:val="single"/>
        </w:rPr>
      </w:pPr>
      <w:r w:rsidRPr="009C5988">
        <w:rPr>
          <w:rFonts w:ascii="Rockwell" w:hAnsi="Rockwell" w:cs="Arial"/>
          <w:b/>
          <w:color w:val="000000" w:themeColor="text1"/>
          <w:u w:val="single"/>
        </w:rPr>
        <w:t xml:space="preserve">Pre-Qualification </w:t>
      </w:r>
      <w:r w:rsidR="006A0117" w:rsidRPr="009C5988">
        <w:rPr>
          <w:rFonts w:ascii="Rockwell" w:hAnsi="Rockwell" w:cs="Arial"/>
          <w:b/>
          <w:color w:val="000000" w:themeColor="text1"/>
          <w:u w:val="single"/>
        </w:rPr>
        <w:t>Criteria:</w:t>
      </w:r>
      <w:r w:rsidRPr="009C5988">
        <w:rPr>
          <w:rFonts w:ascii="Rockwell" w:hAnsi="Rockwell" w:cs="Arial"/>
          <w:b/>
          <w:color w:val="000000" w:themeColor="text1"/>
          <w:u w:val="single"/>
        </w:rPr>
        <w:t xml:space="preserve"> </w:t>
      </w:r>
    </w:p>
    <w:p w:rsidR="00AE1C21" w:rsidRPr="009C5988" w:rsidRDefault="00AE1C21" w:rsidP="00AE1C21">
      <w:pPr>
        <w:tabs>
          <w:tab w:val="left" w:pos="360"/>
        </w:tabs>
        <w:spacing w:after="0" w:line="20" w:lineRule="atLeast"/>
        <w:jc w:val="both"/>
        <w:rPr>
          <w:rFonts w:ascii="Rockwell" w:hAnsi="Rockwell" w:cs="Arial"/>
          <w:color w:val="000000" w:themeColor="text1"/>
          <w:sz w:val="24"/>
          <w:szCs w:val="24"/>
        </w:rPr>
      </w:pPr>
      <w:r w:rsidRPr="009C5988">
        <w:rPr>
          <w:rFonts w:ascii="Rockwell" w:hAnsi="Rockwell" w:cs="Arial"/>
          <w:color w:val="000000"/>
          <w:sz w:val="24"/>
          <w:szCs w:val="24"/>
        </w:rPr>
        <w:t xml:space="preserve">        </w:t>
      </w:r>
    </w:p>
    <w:p w:rsidR="00AE1C21" w:rsidRPr="009C5988" w:rsidRDefault="00AE1C21" w:rsidP="00AE1C21">
      <w:pPr>
        <w:spacing w:after="0" w:line="360" w:lineRule="auto"/>
        <w:jc w:val="both"/>
        <w:rPr>
          <w:rFonts w:ascii="Rockwell" w:hAnsi="Rockwell" w:cs="Arial"/>
          <w:sz w:val="8"/>
          <w:szCs w:val="24"/>
        </w:rPr>
      </w:pPr>
    </w:p>
    <w:p w:rsidR="0024482A" w:rsidRPr="009C5988" w:rsidRDefault="0024482A" w:rsidP="00D84333">
      <w:pPr>
        <w:pStyle w:val="ListParagraph"/>
        <w:numPr>
          <w:ilvl w:val="0"/>
          <w:numId w:val="4"/>
        </w:numPr>
        <w:spacing w:after="0" w:line="240" w:lineRule="auto"/>
        <w:jc w:val="both"/>
        <w:rPr>
          <w:rFonts w:ascii="Rockwell" w:hAnsi="Rockwell" w:cstheme="minorHAnsi"/>
          <w:sz w:val="24"/>
          <w:szCs w:val="24"/>
        </w:rPr>
      </w:pPr>
      <w:r w:rsidRPr="009C5988">
        <w:rPr>
          <w:rFonts w:ascii="Rockwell" w:hAnsi="Rockwell" w:cs="Arial"/>
          <w:color w:val="000000"/>
          <w:sz w:val="24"/>
          <w:szCs w:val="24"/>
        </w:rPr>
        <w:t xml:space="preserve">  Bidder should submit previous purchase order copies as a proof of being supplied </w:t>
      </w:r>
      <w:r w:rsidR="00D44880" w:rsidRPr="009C5988">
        <w:rPr>
          <w:rFonts w:ascii="Rockwell" w:hAnsi="Rockwell" w:cs="Arial"/>
          <w:color w:val="000000"/>
          <w:sz w:val="24"/>
          <w:szCs w:val="24"/>
        </w:rPr>
        <w:t>PTFE/EPTFE/GLASS  FILLED PTFE Gasket sheets</w:t>
      </w:r>
      <w:r w:rsidRPr="009C5988">
        <w:rPr>
          <w:rFonts w:ascii="Rockwell" w:hAnsi="Rockwell" w:cs="Arial"/>
          <w:color w:val="000000"/>
          <w:sz w:val="24"/>
          <w:szCs w:val="24"/>
        </w:rPr>
        <w:t xml:space="preserve">  to any of the companies during current </w:t>
      </w:r>
      <w:r w:rsidR="00F21960" w:rsidRPr="009C5988">
        <w:rPr>
          <w:rFonts w:ascii="Rockwell" w:hAnsi="Rockwell" w:cs="Arial"/>
          <w:color w:val="000000"/>
          <w:sz w:val="24"/>
          <w:szCs w:val="24"/>
        </w:rPr>
        <w:t xml:space="preserve"> up to 31.07.2021</w:t>
      </w:r>
      <w:r w:rsidRPr="009C5988">
        <w:rPr>
          <w:rFonts w:ascii="Rockwell" w:hAnsi="Rockwell" w:cs="Arial"/>
          <w:color w:val="000000"/>
          <w:sz w:val="24"/>
          <w:szCs w:val="24"/>
        </w:rPr>
        <w:t>/ last 3</w:t>
      </w:r>
      <w:r w:rsidR="00F21960" w:rsidRPr="009C5988">
        <w:rPr>
          <w:rFonts w:ascii="Rockwell" w:hAnsi="Rockwell" w:cs="Arial"/>
          <w:color w:val="000000"/>
          <w:sz w:val="24"/>
          <w:szCs w:val="24"/>
        </w:rPr>
        <w:t xml:space="preserve"> financial years (2020-2021,2019-2020,2018-2019)</w:t>
      </w:r>
      <w:r w:rsidRPr="009C5988">
        <w:rPr>
          <w:rFonts w:ascii="Rockwell" w:hAnsi="Rockwell" w:cs="Arial"/>
          <w:color w:val="000000"/>
          <w:sz w:val="24"/>
          <w:szCs w:val="24"/>
        </w:rPr>
        <w:t xml:space="preserve"> </w:t>
      </w:r>
      <w:r w:rsidR="00F21960" w:rsidRPr="009C5988">
        <w:rPr>
          <w:rFonts w:ascii="Rockwell" w:hAnsi="Rockwell" w:cs="Arial"/>
          <w:color w:val="000000"/>
          <w:sz w:val="24"/>
          <w:szCs w:val="24"/>
        </w:rPr>
        <w:t xml:space="preserve">Bidder shall submit GST invoice copies along with (supporting) submitted purchase order </w:t>
      </w:r>
      <w:r w:rsidRPr="009C5988">
        <w:rPr>
          <w:rFonts w:ascii="Rockwell" w:hAnsi="Rockwell" w:cs="Arial"/>
          <w:color w:val="000000"/>
          <w:sz w:val="24"/>
          <w:szCs w:val="24"/>
        </w:rPr>
        <w:t>along with part-1 of their offer. Failing which offer shall be rejected.</w:t>
      </w:r>
    </w:p>
    <w:p w:rsidR="00FB5268" w:rsidRDefault="00FB5268" w:rsidP="00D84333">
      <w:pPr>
        <w:tabs>
          <w:tab w:val="left" w:pos="360"/>
        </w:tabs>
        <w:spacing w:after="0" w:line="20" w:lineRule="atLeast"/>
        <w:jc w:val="both"/>
        <w:rPr>
          <w:rFonts w:ascii="Rockwell" w:hAnsi="Rockwell"/>
          <w:sz w:val="6"/>
          <w:szCs w:val="24"/>
        </w:rPr>
      </w:pPr>
    </w:p>
    <w:p w:rsidR="00D84333" w:rsidRDefault="00D84333" w:rsidP="00D84333">
      <w:pPr>
        <w:tabs>
          <w:tab w:val="left" w:pos="360"/>
        </w:tabs>
        <w:spacing w:after="0" w:line="20" w:lineRule="atLeast"/>
        <w:jc w:val="both"/>
        <w:rPr>
          <w:rFonts w:ascii="Rockwell" w:hAnsi="Rockwell"/>
          <w:sz w:val="6"/>
          <w:szCs w:val="24"/>
        </w:rPr>
      </w:pPr>
    </w:p>
    <w:p w:rsidR="00D84333" w:rsidRPr="00D84333" w:rsidRDefault="00D84333" w:rsidP="00D84333">
      <w:pPr>
        <w:tabs>
          <w:tab w:val="left" w:pos="360"/>
        </w:tabs>
        <w:spacing w:after="0" w:line="20" w:lineRule="atLeast"/>
        <w:jc w:val="both"/>
        <w:rPr>
          <w:rFonts w:ascii="Rockwell" w:hAnsi="Rockwell"/>
          <w:sz w:val="6"/>
          <w:szCs w:val="24"/>
        </w:rPr>
      </w:pPr>
    </w:p>
    <w:p w:rsidR="00FB5268" w:rsidRPr="009C5988" w:rsidRDefault="00FB5268" w:rsidP="00FB5268">
      <w:pPr>
        <w:pStyle w:val="ListParagraph"/>
        <w:jc w:val="both"/>
        <w:rPr>
          <w:rFonts w:ascii="Rockwell" w:hAnsi="Rockwell"/>
          <w:sz w:val="2"/>
          <w:szCs w:val="24"/>
        </w:rPr>
      </w:pPr>
    </w:p>
    <w:p w:rsidR="00FB5268" w:rsidRPr="009C5988" w:rsidRDefault="00FB5268" w:rsidP="00FB5268">
      <w:pPr>
        <w:pStyle w:val="ListParagraph"/>
        <w:jc w:val="both"/>
        <w:rPr>
          <w:rFonts w:ascii="Rockwell" w:hAnsi="Rockwell"/>
          <w:sz w:val="2"/>
          <w:szCs w:val="24"/>
        </w:rPr>
      </w:pPr>
    </w:p>
    <w:p w:rsidR="00FB5268" w:rsidRPr="009C5988" w:rsidRDefault="00FB5268" w:rsidP="00FB5268">
      <w:pPr>
        <w:pStyle w:val="ListParagraph"/>
        <w:jc w:val="both"/>
        <w:rPr>
          <w:rFonts w:ascii="Rockwell" w:hAnsi="Rockwell"/>
          <w:sz w:val="2"/>
          <w:szCs w:val="24"/>
        </w:rPr>
      </w:pPr>
    </w:p>
    <w:p w:rsidR="00FB5268" w:rsidRPr="009C5988" w:rsidRDefault="00D84333" w:rsidP="00D84333">
      <w:pPr>
        <w:pStyle w:val="ListParagraph"/>
        <w:spacing w:after="0" w:line="240" w:lineRule="auto"/>
        <w:ind w:left="360"/>
        <w:jc w:val="both"/>
        <w:rPr>
          <w:rFonts w:ascii="Rockwell" w:hAnsi="Rockwell" w:cs="Arial"/>
          <w:color w:val="000000" w:themeColor="text1"/>
        </w:rPr>
      </w:pPr>
      <w:r>
        <w:rPr>
          <w:rStyle w:val="fontstyle01"/>
          <w:rFonts w:ascii="Rockwell" w:hAnsi="Rockwell"/>
          <w:color w:val="000000" w:themeColor="text1"/>
        </w:rPr>
        <w:t>2.</w:t>
      </w:r>
      <w:r w:rsidR="00FB5268" w:rsidRPr="009C5988">
        <w:rPr>
          <w:rStyle w:val="fontstyle01"/>
          <w:rFonts w:ascii="Rockwell" w:hAnsi="Rockwell"/>
          <w:color w:val="000000" w:themeColor="text1"/>
        </w:rPr>
        <w:t xml:space="preserve">  Offers received without </w:t>
      </w:r>
      <w:r w:rsidR="00FB5268" w:rsidRPr="009C5988">
        <w:rPr>
          <w:rStyle w:val="fontstyle01"/>
          <w:rFonts w:ascii="Rockwell" w:hAnsi="Rockwell"/>
          <w:b/>
          <w:bCs/>
          <w:color w:val="000000" w:themeColor="text1"/>
        </w:rPr>
        <w:t>EMD</w:t>
      </w:r>
      <w:r w:rsidR="00946A6E" w:rsidRPr="009C5988">
        <w:rPr>
          <w:rStyle w:val="fontstyle01"/>
          <w:rFonts w:ascii="Rockwell" w:hAnsi="Rockwell"/>
          <w:b/>
          <w:bCs/>
          <w:color w:val="000000" w:themeColor="text1"/>
        </w:rPr>
        <w:t xml:space="preserve"> Declaration form</w:t>
      </w:r>
      <w:r w:rsidR="00FB5268" w:rsidRPr="009C5988">
        <w:rPr>
          <w:rStyle w:val="fontstyle01"/>
          <w:rFonts w:ascii="Rockwell" w:hAnsi="Rockwell"/>
          <w:color w:val="000000" w:themeColor="text1"/>
        </w:rPr>
        <w:t xml:space="preserve">  will not be considered. However</w:t>
      </w:r>
      <w:r w:rsidR="00946A6E" w:rsidRPr="009C5988">
        <w:rPr>
          <w:rStyle w:val="fontstyle01"/>
          <w:rFonts w:ascii="Rockwell" w:hAnsi="Rockwell"/>
          <w:color w:val="000000" w:themeColor="text1"/>
        </w:rPr>
        <w:t xml:space="preserve"> M</w:t>
      </w:r>
      <w:r w:rsidR="00FB5268" w:rsidRPr="009C5988">
        <w:rPr>
          <w:rStyle w:val="fontstyle01"/>
          <w:rFonts w:ascii="Rockwell" w:hAnsi="Rockwell"/>
          <w:color w:val="000000" w:themeColor="text1"/>
        </w:rPr>
        <w:t>SME/Small</w:t>
      </w:r>
      <w:r w:rsidR="00946A6E" w:rsidRPr="009C5988">
        <w:rPr>
          <w:rStyle w:val="fontstyle01"/>
          <w:rFonts w:ascii="Rockwell" w:hAnsi="Rockwell"/>
          <w:color w:val="000000" w:themeColor="text1"/>
        </w:rPr>
        <w:t xml:space="preserve"> </w:t>
      </w:r>
      <w:r w:rsidR="00FB5268" w:rsidRPr="009C5988">
        <w:rPr>
          <w:rStyle w:val="fontstyle01"/>
          <w:rFonts w:ascii="Rockwell" w:hAnsi="Rockwell"/>
          <w:color w:val="000000" w:themeColor="text1"/>
        </w:rPr>
        <w:t xml:space="preserve">scale industries are exempted from submission of </w:t>
      </w:r>
      <w:r w:rsidR="00FB5268" w:rsidRPr="009C5988">
        <w:rPr>
          <w:rStyle w:val="fontstyle01"/>
          <w:rFonts w:ascii="Rockwell" w:hAnsi="Rockwell"/>
          <w:b/>
          <w:bCs/>
          <w:color w:val="000000" w:themeColor="text1"/>
        </w:rPr>
        <w:t xml:space="preserve"> EMD</w:t>
      </w:r>
      <w:r w:rsidR="00FB5268" w:rsidRPr="009C5988">
        <w:rPr>
          <w:rStyle w:val="fontstyle01"/>
          <w:rFonts w:ascii="Rockwell" w:hAnsi="Rockwell"/>
          <w:color w:val="000000" w:themeColor="text1"/>
        </w:rPr>
        <w:t xml:space="preserve"> </w:t>
      </w:r>
      <w:r w:rsidR="00AE48C5" w:rsidRPr="009C5988">
        <w:rPr>
          <w:rStyle w:val="fontstyle01"/>
          <w:rFonts w:ascii="Rockwell" w:hAnsi="Rockwell"/>
          <w:color w:val="000000" w:themeColor="text1"/>
        </w:rPr>
        <w:t xml:space="preserve">Declaration form </w:t>
      </w:r>
      <w:r w:rsidR="00FB5268" w:rsidRPr="009C5988">
        <w:rPr>
          <w:rStyle w:val="fontstyle01"/>
          <w:rFonts w:ascii="Rockwell" w:hAnsi="Rockwell"/>
          <w:color w:val="000000" w:themeColor="text1"/>
        </w:rPr>
        <w:t>against</w:t>
      </w:r>
      <w:r w:rsidR="00946A6E" w:rsidRPr="009C5988">
        <w:rPr>
          <w:rStyle w:val="fontstyle01"/>
          <w:rFonts w:ascii="Rockwell" w:hAnsi="Rockwell"/>
          <w:color w:val="000000" w:themeColor="text1"/>
        </w:rPr>
        <w:t xml:space="preserve"> </w:t>
      </w:r>
      <w:r w:rsidR="00FB5268" w:rsidRPr="009C5988">
        <w:rPr>
          <w:rStyle w:val="fontstyle01"/>
          <w:rFonts w:ascii="Rockwell" w:hAnsi="Rockwell"/>
          <w:color w:val="000000" w:themeColor="text1"/>
        </w:rPr>
        <w:t>submission</w:t>
      </w:r>
      <w:r w:rsidR="00946A6E" w:rsidRPr="009C5988">
        <w:rPr>
          <w:rStyle w:val="fontstyle01"/>
          <w:rFonts w:ascii="Rockwell" w:hAnsi="Rockwell"/>
          <w:color w:val="000000" w:themeColor="text1"/>
        </w:rPr>
        <w:t xml:space="preserve"> </w:t>
      </w:r>
      <w:r w:rsidR="00FB5268" w:rsidRPr="009C5988">
        <w:rPr>
          <w:rStyle w:val="fontstyle01"/>
          <w:rFonts w:ascii="Rockwell" w:hAnsi="Rockwell"/>
          <w:color w:val="000000" w:themeColor="text1"/>
        </w:rPr>
        <w:t>of current valid registration certificate issued by state (or) central government. Pertains to the class of items/ works/ stores for which the tender is floated.</w:t>
      </w:r>
    </w:p>
    <w:p w:rsidR="001C1CD2" w:rsidRPr="009C5988" w:rsidRDefault="001C1CD2" w:rsidP="00D84333">
      <w:pPr>
        <w:pStyle w:val="ListParagraph"/>
        <w:spacing w:after="0" w:line="240" w:lineRule="auto"/>
        <w:jc w:val="both"/>
        <w:rPr>
          <w:rStyle w:val="fontstyle01"/>
          <w:rFonts w:ascii="Rockwell" w:hAnsi="Rockwell" w:cs="Arial"/>
          <w:color w:val="000000" w:themeColor="text1"/>
          <w:sz w:val="22"/>
          <w:szCs w:val="22"/>
        </w:rPr>
      </w:pPr>
    </w:p>
    <w:p w:rsidR="00FB3122" w:rsidRPr="00FB3122" w:rsidRDefault="00FB3122" w:rsidP="00D84333">
      <w:pPr>
        <w:pStyle w:val="ListParagraph"/>
        <w:spacing w:after="0" w:line="240" w:lineRule="auto"/>
        <w:jc w:val="both"/>
        <w:rPr>
          <w:rStyle w:val="fontstyle01"/>
          <w:rFonts w:asciiTheme="majorHAnsi" w:hAnsiTheme="majorHAnsi" w:cs="Arial"/>
          <w:color w:val="000000" w:themeColor="text1"/>
          <w:sz w:val="22"/>
          <w:szCs w:val="22"/>
        </w:rPr>
      </w:pPr>
    </w:p>
    <w:p w:rsidR="00FB3122" w:rsidRPr="00FB3122" w:rsidRDefault="00FB3122" w:rsidP="00FB3122">
      <w:pPr>
        <w:spacing w:after="0" w:line="240" w:lineRule="auto"/>
        <w:jc w:val="both"/>
        <w:rPr>
          <w:rStyle w:val="fontstyle01"/>
          <w:rFonts w:asciiTheme="majorHAnsi" w:hAnsiTheme="majorHAnsi" w:cs="Arial"/>
          <w:color w:val="000000" w:themeColor="text1"/>
          <w:sz w:val="22"/>
          <w:szCs w:val="22"/>
        </w:rPr>
      </w:pPr>
    </w:p>
    <w:p w:rsidR="00DE7F7C" w:rsidRPr="008668CA" w:rsidRDefault="00DE7F7C" w:rsidP="00204FCA">
      <w:pPr>
        <w:spacing w:after="0" w:line="240" w:lineRule="auto"/>
        <w:jc w:val="both"/>
        <w:rPr>
          <w:rFonts w:asciiTheme="majorHAnsi" w:hAnsiTheme="majorHAnsi" w:cs="Arial"/>
          <w:color w:val="000000" w:themeColor="text1"/>
        </w:rPr>
      </w:pPr>
    </w:p>
    <w:p w:rsidR="00DE7F7C" w:rsidRPr="008668CA" w:rsidRDefault="00DE7F7C" w:rsidP="00FC2876">
      <w:pPr>
        <w:pStyle w:val="NoSpacing"/>
        <w:rPr>
          <w:rFonts w:asciiTheme="majorHAnsi" w:hAnsiTheme="majorHAnsi"/>
          <w:color w:val="000000" w:themeColor="text1"/>
        </w:rPr>
      </w:pPr>
    </w:p>
    <w:p w:rsidR="00DE7F7C" w:rsidRPr="008668CA" w:rsidRDefault="00DE7F7C" w:rsidP="00204FCA">
      <w:pPr>
        <w:spacing w:after="0" w:line="240" w:lineRule="auto"/>
        <w:jc w:val="both"/>
        <w:rPr>
          <w:rFonts w:asciiTheme="majorHAnsi" w:hAnsiTheme="majorHAnsi" w:cs="Arial"/>
          <w:color w:val="000000" w:themeColor="text1"/>
        </w:rPr>
      </w:pP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A4A" w:rsidRDefault="00267A4A" w:rsidP="00A13A17">
      <w:pPr>
        <w:spacing w:after="0" w:line="240" w:lineRule="auto"/>
      </w:pPr>
      <w:r>
        <w:separator/>
      </w:r>
    </w:p>
  </w:endnote>
  <w:endnote w:type="continuationSeparator" w:id="1">
    <w:p w:rsidR="00267A4A" w:rsidRDefault="00267A4A" w:rsidP="00A13A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A4A" w:rsidRDefault="00267A4A" w:rsidP="00A13A17">
      <w:pPr>
        <w:spacing w:after="0" w:line="240" w:lineRule="auto"/>
      </w:pPr>
      <w:r>
        <w:separator/>
      </w:r>
    </w:p>
  </w:footnote>
  <w:footnote w:type="continuationSeparator" w:id="1">
    <w:p w:rsidR="00267A4A" w:rsidRDefault="00267A4A" w:rsidP="00A13A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30B2B"/>
    <w:multiLevelType w:val="hybridMultilevel"/>
    <w:tmpl w:val="97DEBCAA"/>
    <w:lvl w:ilvl="0" w:tplc="6A30471A">
      <w:start w:val="22"/>
      <w:numFmt w:val="decimal"/>
      <w:lvlText w:val="%1)"/>
      <w:lvlJc w:val="left"/>
      <w:pPr>
        <w:ind w:left="810" w:hanging="360"/>
      </w:pPr>
      <w:rPr>
        <w:rFonts w:hint="default"/>
        <w:b w:val="0"/>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2"/>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13"/>
  </w:num>
  <w:num w:numId="15">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300"/>
    <w:rsid w:val="00002CF8"/>
    <w:rsid w:val="00017F88"/>
    <w:rsid w:val="0002103A"/>
    <w:rsid w:val="00022CBE"/>
    <w:rsid w:val="00026321"/>
    <w:rsid w:val="00037110"/>
    <w:rsid w:val="00042037"/>
    <w:rsid w:val="000434A3"/>
    <w:rsid w:val="000450F1"/>
    <w:rsid w:val="00045165"/>
    <w:rsid w:val="00051E3C"/>
    <w:rsid w:val="00056DC5"/>
    <w:rsid w:val="0005708B"/>
    <w:rsid w:val="0006556C"/>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A7472"/>
    <w:rsid w:val="000A775F"/>
    <w:rsid w:val="000B2E2A"/>
    <w:rsid w:val="000B4533"/>
    <w:rsid w:val="000B5FF1"/>
    <w:rsid w:val="000C1C27"/>
    <w:rsid w:val="000C2080"/>
    <w:rsid w:val="000C4310"/>
    <w:rsid w:val="000C48C3"/>
    <w:rsid w:val="000C7017"/>
    <w:rsid w:val="000C71D7"/>
    <w:rsid w:val="000D00B1"/>
    <w:rsid w:val="000D1E20"/>
    <w:rsid w:val="000D59E7"/>
    <w:rsid w:val="000E002C"/>
    <w:rsid w:val="000E0441"/>
    <w:rsid w:val="000E4816"/>
    <w:rsid w:val="000E4A55"/>
    <w:rsid w:val="000E77A4"/>
    <w:rsid w:val="000F23B8"/>
    <w:rsid w:val="000F3786"/>
    <w:rsid w:val="000F41D0"/>
    <w:rsid w:val="000F487D"/>
    <w:rsid w:val="000F6CB7"/>
    <w:rsid w:val="00101511"/>
    <w:rsid w:val="00106A3D"/>
    <w:rsid w:val="001126FA"/>
    <w:rsid w:val="00115C64"/>
    <w:rsid w:val="001221FC"/>
    <w:rsid w:val="00122E42"/>
    <w:rsid w:val="001235EB"/>
    <w:rsid w:val="00133EE3"/>
    <w:rsid w:val="00136C81"/>
    <w:rsid w:val="00144437"/>
    <w:rsid w:val="001447E5"/>
    <w:rsid w:val="0014488B"/>
    <w:rsid w:val="001515D7"/>
    <w:rsid w:val="00152481"/>
    <w:rsid w:val="00152FB3"/>
    <w:rsid w:val="001571C0"/>
    <w:rsid w:val="00162321"/>
    <w:rsid w:val="001639F5"/>
    <w:rsid w:val="0017010F"/>
    <w:rsid w:val="00172643"/>
    <w:rsid w:val="00174B1B"/>
    <w:rsid w:val="0017592C"/>
    <w:rsid w:val="00186708"/>
    <w:rsid w:val="00191A21"/>
    <w:rsid w:val="00191FEC"/>
    <w:rsid w:val="00194C63"/>
    <w:rsid w:val="00195130"/>
    <w:rsid w:val="00195B03"/>
    <w:rsid w:val="001A2987"/>
    <w:rsid w:val="001A66B7"/>
    <w:rsid w:val="001B3FC8"/>
    <w:rsid w:val="001B780A"/>
    <w:rsid w:val="001C1CD2"/>
    <w:rsid w:val="001C3A2F"/>
    <w:rsid w:val="001C4415"/>
    <w:rsid w:val="001D2B43"/>
    <w:rsid w:val="001D2CEE"/>
    <w:rsid w:val="001E0FFB"/>
    <w:rsid w:val="001E2581"/>
    <w:rsid w:val="001E2FA8"/>
    <w:rsid w:val="001E562D"/>
    <w:rsid w:val="001E6A6D"/>
    <w:rsid w:val="001F0BC6"/>
    <w:rsid w:val="001F1526"/>
    <w:rsid w:val="001F370E"/>
    <w:rsid w:val="001F488C"/>
    <w:rsid w:val="001F514A"/>
    <w:rsid w:val="0020339A"/>
    <w:rsid w:val="00203708"/>
    <w:rsid w:val="00204FCA"/>
    <w:rsid w:val="00205D49"/>
    <w:rsid w:val="002267FF"/>
    <w:rsid w:val="002303F3"/>
    <w:rsid w:val="00231233"/>
    <w:rsid w:val="0023469A"/>
    <w:rsid w:val="002350BF"/>
    <w:rsid w:val="0024296B"/>
    <w:rsid w:val="00243E0F"/>
    <w:rsid w:val="002442A6"/>
    <w:rsid w:val="0024482A"/>
    <w:rsid w:val="0026301F"/>
    <w:rsid w:val="00264583"/>
    <w:rsid w:val="00267322"/>
    <w:rsid w:val="00267A4A"/>
    <w:rsid w:val="00281B36"/>
    <w:rsid w:val="00292F30"/>
    <w:rsid w:val="002A0F84"/>
    <w:rsid w:val="002B1AEB"/>
    <w:rsid w:val="002B68C2"/>
    <w:rsid w:val="002D0B15"/>
    <w:rsid w:val="002D3865"/>
    <w:rsid w:val="002D3D6C"/>
    <w:rsid w:val="002D4697"/>
    <w:rsid w:val="002E28D1"/>
    <w:rsid w:val="002E2A8E"/>
    <w:rsid w:val="002E6C7B"/>
    <w:rsid w:val="002F1502"/>
    <w:rsid w:val="002F382F"/>
    <w:rsid w:val="002F3F35"/>
    <w:rsid w:val="002F4B50"/>
    <w:rsid w:val="00300D18"/>
    <w:rsid w:val="00301474"/>
    <w:rsid w:val="003030EE"/>
    <w:rsid w:val="00312B2E"/>
    <w:rsid w:val="00313790"/>
    <w:rsid w:val="003147EE"/>
    <w:rsid w:val="0032047B"/>
    <w:rsid w:val="0032055A"/>
    <w:rsid w:val="00332779"/>
    <w:rsid w:val="00333024"/>
    <w:rsid w:val="0033320C"/>
    <w:rsid w:val="003366A8"/>
    <w:rsid w:val="00337B7E"/>
    <w:rsid w:val="00340AEE"/>
    <w:rsid w:val="00340C46"/>
    <w:rsid w:val="00341F33"/>
    <w:rsid w:val="00343568"/>
    <w:rsid w:val="00353BFB"/>
    <w:rsid w:val="0036115A"/>
    <w:rsid w:val="00361A37"/>
    <w:rsid w:val="00361CFA"/>
    <w:rsid w:val="003678C0"/>
    <w:rsid w:val="003706EB"/>
    <w:rsid w:val="003732F2"/>
    <w:rsid w:val="00376390"/>
    <w:rsid w:val="003908A4"/>
    <w:rsid w:val="003B0D47"/>
    <w:rsid w:val="003B4C80"/>
    <w:rsid w:val="003B4F8E"/>
    <w:rsid w:val="003C050E"/>
    <w:rsid w:val="003C063F"/>
    <w:rsid w:val="003C626E"/>
    <w:rsid w:val="003C7724"/>
    <w:rsid w:val="003C7BE6"/>
    <w:rsid w:val="003D5D40"/>
    <w:rsid w:val="003D78F1"/>
    <w:rsid w:val="003E44B4"/>
    <w:rsid w:val="003E466E"/>
    <w:rsid w:val="003E60CA"/>
    <w:rsid w:val="003E710A"/>
    <w:rsid w:val="003F50BB"/>
    <w:rsid w:val="003F7066"/>
    <w:rsid w:val="00413CC7"/>
    <w:rsid w:val="004170F9"/>
    <w:rsid w:val="00431056"/>
    <w:rsid w:val="00431BA5"/>
    <w:rsid w:val="00432F66"/>
    <w:rsid w:val="004353AE"/>
    <w:rsid w:val="00435903"/>
    <w:rsid w:val="00435C95"/>
    <w:rsid w:val="00444F3F"/>
    <w:rsid w:val="00450F15"/>
    <w:rsid w:val="004612D8"/>
    <w:rsid w:val="00461C37"/>
    <w:rsid w:val="00461C3B"/>
    <w:rsid w:val="00462AED"/>
    <w:rsid w:val="0046479D"/>
    <w:rsid w:val="00467188"/>
    <w:rsid w:val="004671D9"/>
    <w:rsid w:val="00475A27"/>
    <w:rsid w:val="004817DA"/>
    <w:rsid w:val="00485BE9"/>
    <w:rsid w:val="004861FE"/>
    <w:rsid w:val="00486C2C"/>
    <w:rsid w:val="00497057"/>
    <w:rsid w:val="004A0562"/>
    <w:rsid w:val="004A7022"/>
    <w:rsid w:val="004A78E4"/>
    <w:rsid w:val="004C5DFE"/>
    <w:rsid w:val="004C76AF"/>
    <w:rsid w:val="004C7DBD"/>
    <w:rsid w:val="004D1523"/>
    <w:rsid w:val="004D42D5"/>
    <w:rsid w:val="004E3AA8"/>
    <w:rsid w:val="004E70F4"/>
    <w:rsid w:val="004F2257"/>
    <w:rsid w:val="004F539A"/>
    <w:rsid w:val="004F6302"/>
    <w:rsid w:val="005028F9"/>
    <w:rsid w:val="00510B0E"/>
    <w:rsid w:val="00514CE6"/>
    <w:rsid w:val="005213EE"/>
    <w:rsid w:val="00521C22"/>
    <w:rsid w:val="00526679"/>
    <w:rsid w:val="00526832"/>
    <w:rsid w:val="00530373"/>
    <w:rsid w:val="00531868"/>
    <w:rsid w:val="005413EA"/>
    <w:rsid w:val="0054231E"/>
    <w:rsid w:val="00544234"/>
    <w:rsid w:val="005506C7"/>
    <w:rsid w:val="005523A5"/>
    <w:rsid w:val="005579D3"/>
    <w:rsid w:val="005618A2"/>
    <w:rsid w:val="00564C28"/>
    <w:rsid w:val="00566940"/>
    <w:rsid w:val="00570484"/>
    <w:rsid w:val="00577F1C"/>
    <w:rsid w:val="00582AA2"/>
    <w:rsid w:val="005908F0"/>
    <w:rsid w:val="00594AE9"/>
    <w:rsid w:val="005A227B"/>
    <w:rsid w:val="005A4680"/>
    <w:rsid w:val="005A6F8F"/>
    <w:rsid w:val="005B1ECF"/>
    <w:rsid w:val="005B7DA8"/>
    <w:rsid w:val="005C1539"/>
    <w:rsid w:val="005C7147"/>
    <w:rsid w:val="005D11D8"/>
    <w:rsid w:val="005E2611"/>
    <w:rsid w:val="005F06EE"/>
    <w:rsid w:val="005F354C"/>
    <w:rsid w:val="005F491F"/>
    <w:rsid w:val="005F64CB"/>
    <w:rsid w:val="005F6FB6"/>
    <w:rsid w:val="006000EF"/>
    <w:rsid w:val="006010B3"/>
    <w:rsid w:val="006028AB"/>
    <w:rsid w:val="0060411D"/>
    <w:rsid w:val="006126F4"/>
    <w:rsid w:val="006210CE"/>
    <w:rsid w:val="00635186"/>
    <w:rsid w:val="006413DB"/>
    <w:rsid w:val="00642A33"/>
    <w:rsid w:val="00647BF5"/>
    <w:rsid w:val="006510AB"/>
    <w:rsid w:val="0065496F"/>
    <w:rsid w:val="00654A2D"/>
    <w:rsid w:val="00662F86"/>
    <w:rsid w:val="0066410A"/>
    <w:rsid w:val="006671B6"/>
    <w:rsid w:val="00673183"/>
    <w:rsid w:val="00674A74"/>
    <w:rsid w:val="0067605A"/>
    <w:rsid w:val="00676990"/>
    <w:rsid w:val="006906CC"/>
    <w:rsid w:val="00690959"/>
    <w:rsid w:val="006954E1"/>
    <w:rsid w:val="00696CC2"/>
    <w:rsid w:val="006A0117"/>
    <w:rsid w:val="006A201B"/>
    <w:rsid w:val="006A396E"/>
    <w:rsid w:val="006A7854"/>
    <w:rsid w:val="006B2580"/>
    <w:rsid w:val="006B2AA7"/>
    <w:rsid w:val="006B70BB"/>
    <w:rsid w:val="006C79F4"/>
    <w:rsid w:val="006D40D4"/>
    <w:rsid w:val="006D4C6F"/>
    <w:rsid w:val="006E3FB3"/>
    <w:rsid w:val="006E5089"/>
    <w:rsid w:val="006E68DE"/>
    <w:rsid w:val="006E754D"/>
    <w:rsid w:val="006F1EFF"/>
    <w:rsid w:val="006F2358"/>
    <w:rsid w:val="0070176A"/>
    <w:rsid w:val="0071120C"/>
    <w:rsid w:val="007121C9"/>
    <w:rsid w:val="00713454"/>
    <w:rsid w:val="00726DB6"/>
    <w:rsid w:val="00740BD6"/>
    <w:rsid w:val="0074629B"/>
    <w:rsid w:val="0075331C"/>
    <w:rsid w:val="00760D77"/>
    <w:rsid w:val="00762BED"/>
    <w:rsid w:val="00764C74"/>
    <w:rsid w:val="007653E7"/>
    <w:rsid w:val="0076767D"/>
    <w:rsid w:val="00775CEB"/>
    <w:rsid w:val="00784278"/>
    <w:rsid w:val="00784563"/>
    <w:rsid w:val="00785049"/>
    <w:rsid w:val="007870A8"/>
    <w:rsid w:val="0079304B"/>
    <w:rsid w:val="00794066"/>
    <w:rsid w:val="00796018"/>
    <w:rsid w:val="007A3D45"/>
    <w:rsid w:val="007A534F"/>
    <w:rsid w:val="007B4B30"/>
    <w:rsid w:val="007B5991"/>
    <w:rsid w:val="007B5ECD"/>
    <w:rsid w:val="007B6D0E"/>
    <w:rsid w:val="007C0B43"/>
    <w:rsid w:val="007C36D3"/>
    <w:rsid w:val="007D6614"/>
    <w:rsid w:val="007D6A92"/>
    <w:rsid w:val="007D6E24"/>
    <w:rsid w:val="007E4633"/>
    <w:rsid w:val="007F19C6"/>
    <w:rsid w:val="007F1B9F"/>
    <w:rsid w:val="0080405A"/>
    <w:rsid w:val="00810E54"/>
    <w:rsid w:val="00813E4B"/>
    <w:rsid w:val="008215CB"/>
    <w:rsid w:val="008258A0"/>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A72AE"/>
    <w:rsid w:val="008B0656"/>
    <w:rsid w:val="008C0126"/>
    <w:rsid w:val="008C0F0C"/>
    <w:rsid w:val="008C727F"/>
    <w:rsid w:val="008D0575"/>
    <w:rsid w:val="008D0DE8"/>
    <w:rsid w:val="008D1EF2"/>
    <w:rsid w:val="008D23C6"/>
    <w:rsid w:val="008E0FF4"/>
    <w:rsid w:val="008E3286"/>
    <w:rsid w:val="008E5B93"/>
    <w:rsid w:val="008E7055"/>
    <w:rsid w:val="008E7291"/>
    <w:rsid w:val="008F148E"/>
    <w:rsid w:val="008F3D65"/>
    <w:rsid w:val="00901584"/>
    <w:rsid w:val="009069F6"/>
    <w:rsid w:val="009102F8"/>
    <w:rsid w:val="00910A6E"/>
    <w:rsid w:val="009113B5"/>
    <w:rsid w:val="0091197D"/>
    <w:rsid w:val="00911A83"/>
    <w:rsid w:val="0092173D"/>
    <w:rsid w:val="00922263"/>
    <w:rsid w:val="0092447B"/>
    <w:rsid w:val="00924506"/>
    <w:rsid w:val="00926142"/>
    <w:rsid w:val="00926D06"/>
    <w:rsid w:val="009357E8"/>
    <w:rsid w:val="0093767D"/>
    <w:rsid w:val="009408FC"/>
    <w:rsid w:val="00942B4A"/>
    <w:rsid w:val="009441F2"/>
    <w:rsid w:val="009449AE"/>
    <w:rsid w:val="00946A6E"/>
    <w:rsid w:val="00957DEB"/>
    <w:rsid w:val="00967B41"/>
    <w:rsid w:val="00977BAB"/>
    <w:rsid w:val="00982E5D"/>
    <w:rsid w:val="00984CE8"/>
    <w:rsid w:val="00990988"/>
    <w:rsid w:val="00994AB9"/>
    <w:rsid w:val="009962F7"/>
    <w:rsid w:val="009A294D"/>
    <w:rsid w:val="009A73FD"/>
    <w:rsid w:val="009A7483"/>
    <w:rsid w:val="009B164B"/>
    <w:rsid w:val="009B18E1"/>
    <w:rsid w:val="009B7124"/>
    <w:rsid w:val="009C15FD"/>
    <w:rsid w:val="009C592E"/>
    <w:rsid w:val="009C5988"/>
    <w:rsid w:val="009C5DFF"/>
    <w:rsid w:val="009D3E56"/>
    <w:rsid w:val="009D7134"/>
    <w:rsid w:val="009E0DA0"/>
    <w:rsid w:val="009E2735"/>
    <w:rsid w:val="009E2BA7"/>
    <w:rsid w:val="009E52A2"/>
    <w:rsid w:val="009F35B4"/>
    <w:rsid w:val="009F57BC"/>
    <w:rsid w:val="00A01983"/>
    <w:rsid w:val="00A045D4"/>
    <w:rsid w:val="00A073D5"/>
    <w:rsid w:val="00A13A17"/>
    <w:rsid w:val="00A1629C"/>
    <w:rsid w:val="00A17D3C"/>
    <w:rsid w:val="00A21739"/>
    <w:rsid w:val="00A32569"/>
    <w:rsid w:val="00A35672"/>
    <w:rsid w:val="00A40616"/>
    <w:rsid w:val="00A43CDF"/>
    <w:rsid w:val="00A4610A"/>
    <w:rsid w:val="00A5019A"/>
    <w:rsid w:val="00A5272B"/>
    <w:rsid w:val="00A53CA2"/>
    <w:rsid w:val="00A647A0"/>
    <w:rsid w:val="00A7199E"/>
    <w:rsid w:val="00A72AF8"/>
    <w:rsid w:val="00A81B72"/>
    <w:rsid w:val="00A8741C"/>
    <w:rsid w:val="00A901EC"/>
    <w:rsid w:val="00A93B9B"/>
    <w:rsid w:val="00A97A3D"/>
    <w:rsid w:val="00AA6323"/>
    <w:rsid w:val="00AA6909"/>
    <w:rsid w:val="00AA6EC2"/>
    <w:rsid w:val="00AB0D32"/>
    <w:rsid w:val="00AB6840"/>
    <w:rsid w:val="00AC0593"/>
    <w:rsid w:val="00AC3796"/>
    <w:rsid w:val="00AC4FBE"/>
    <w:rsid w:val="00AC603B"/>
    <w:rsid w:val="00AC63BC"/>
    <w:rsid w:val="00AC6785"/>
    <w:rsid w:val="00AD2BEA"/>
    <w:rsid w:val="00AD4EF7"/>
    <w:rsid w:val="00AE0D00"/>
    <w:rsid w:val="00AE121F"/>
    <w:rsid w:val="00AE1C21"/>
    <w:rsid w:val="00AE48C5"/>
    <w:rsid w:val="00AE7C01"/>
    <w:rsid w:val="00AF351E"/>
    <w:rsid w:val="00AF4694"/>
    <w:rsid w:val="00B049ED"/>
    <w:rsid w:val="00B06093"/>
    <w:rsid w:val="00B07588"/>
    <w:rsid w:val="00B21E47"/>
    <w:rsid w:val="00B31146"/>
    <w:rsid w:val="00B31AF7"/>
    <w:rsid w:val="00B32D7F"/>
    <w:rsid w:val="00B374D9"/>
    <w:rsid w:val="00B4232A"/>
    <w:rsid w:val="00B42EB2"/>
    <w:rsid w:val="00B45BE1"/>
    <w:rsid w:val="00B45FF8"/>
    <w:rsid w:val="00B46A36"/>
    <w:rsid w:val="00B47590"/>
    <w:rsid w:val="00B51C6E"/>
    <w:rsid w:val="00B523A5"/>
    <w:rsid w:val="00B70765"/>
    <w:rsid w:val="00B760DD"/>
    <w:rsid w:val="00B80FA0"/>
    <w:rsid w:val="00B862A6"/>
    <w:rsid w:val="00B90019"/>
    <w:rsid w:val="00B90645"/>
    <w:rsid w:val="00B90B05"/>
    <w:rsid w:val="00B938FB"/>
    <w:rsid w:val="00B96861"/>
    <w:rsid w:val="00BA3921"/>
    <w:rsid w:val="00BB5F24"/>
    <w:rsid w:val="00BB6E72"/>
    <w:rsid w:val="00BB7924"/>
    <w:rsid w:val="00BC1183"/>
    <w:rsid w:val="00BC33EE"/>
    <w:rsid w:val="00BC5171"/>
    <w:rsid w:val="00BD62E1"/>
    <w:rsid w:val="00BE2006"/>
    <w:rsid w:val="00BE4357"/>
    <w:rsid w:val="00BF27A9"/>
    <w:rsid w:val="00BF2827"/>
    <w:rsid w:val="00BF5464"/>
    <w:rsid w:val="00C01CA2"/>
    <w:rsid w:val="00C04B9C"/>
    <w:rsid w:val="00C113CF"/>
    <w:rsid w:val="00C142EA"/>
    <w:rsid w:val="00C160C8"/>
    <w:rsid w:val="00C16A69"/>
    <w:rsid w:val="00C20404"/>
    <w:rsid w:val="00C27CF7"/>
    <w:rsid w:val="00C30638"/>
    <w:rsid w:val="00C34977"/>
    <w:rsid w:val="00C37EC3"/>
    <w:rsid w:val="00C40797"/>
    <w:rsid w:val="00C44140"/>
    <w:rsid w:val="00C477C7"/>
    <w:rsid w:val="00C554E7"/>
    <w:rsid w:val="00C5615D"/>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49"/>
    <w:rsid w:val="00C976CB"/>
    <w:rsid w:val="00CA0287"/>
    <w:rsid w:val="00CA063B"/>
    <w:rsid w:val="00CA06CF"/>
    <w:rsid w:val="00CA27B3"/>
    <w:rsid w:val="00CA3389"/>
    <w:rsid w:val="00CA7174"/>
    <w:rsid w:val="00CA770C"/>
    <w:rsid w:val="00CB3C2F"/>
    <w:rsid w:val="00CB4988"/>
    <w:rsid w:val="00CC1D16"/>
    <w:rsid w:val="00CC4B00"/>
    <w:rsid w:val="00CC5021"/>
    <w:rsid w:val="00CC52F7"/>
    <w:rsid w:val="00CD5547"/>
    <w:rsid w:val="00CE6109"/>
    <w:rsid w:val="00CE70C3"/>
    <w:rsid w:val="00CF5220"/>
    <w:rsid w:val="00D02B90"/>
    <w:rsid w:val="00D0317E"/>
    <w:rsid w:val="00D06AC3"/>
    <w:rsid w:val="00D1087C"/>
    <w:rsid w:val="00D16B71"/>
    <w:rsid w:val="00D205EF"/>
    <w:rsid w:val="00D22583"/>
    <w:rsid w:val="00D2342F"/>
    <w:rsid w:val="00D249EA"/>
    <w:rsid w:val="00D30805"/>
    <w:rsid w:val="00D42CEA"/>
    <w:rsid w:val="00D44880"/>
    <w:rsid w:val="00D51617"/>
    <w:rsid w:val="00D536D1"/>
    <w:rsid w:val="00D5701B"/>
    <w:rsid w:val="00D5721B"/>
    <w:rsid w:val="00D600C5"/>
    <w:rsid w:val="00D64C2B"/>
    <w:rsid w:val="00D76A88"/>
    <w:rsid w:val="00D84333"/>
    <w:rsid w:val="00D93DB6"/>
    <w:rsid w:val="00D96D77"/>
    <w:rsid w:val="00DA5460"/>
    <w:rsid w:val="00DB16AC"/>
    <w:rsid w:val="00DB520C"/>
    <w:rsid w:val="00DC5266"/>
    <w:rsid w:val="00DD2749"/>
    <w:rsid w:val="00DD40E5"/>
    <w:rsid w:val="00DD4442"/>
    <w:rsid w:val="00DD5EAA"/>
    <w:rsid w:val="00DD7B37"/>
    <w:rsid w:val="00DE0BE5"/>
    <w:rsid w:val="00DE15F8"/>
    <w:rsid w:val="00DE2C5A"/>
    <w:rsid w:val="00DE3A46"/>
    <w:rsid w:val="00DE574E"/>
    <w:rsid w:val="00DE7F7C"/>
    <w:rsid w:val="00DF1CB9"/>
    <w:rsid w:val="00DF2922"/>
    <w:rsid w:val="00DF37DF"/>
    <w:rsid w:val="00DF5AA3"/>
    <w:rsid w:val="00DF7AB5"/>
    <w:rsid w:val="00E01880"/>
    <w:rsid w:val="00E0789D"/>
    <w:rsid w:val="00E1385A"/>
    <w:rsid w:val="00E15BC4"/>
    <w:rsid w:val="00E175AA"/>
    <w:rsid w:val="00E2000B"/>
    <w:rsid w:val="00E230C5"/>
    <w:rsid w:val="00E307CE"/>
    <w:rsid w:val="00E30B04"/>
    <w:rsid w:val="00E3198A"/>
    <w:rsid w:val="00E3379B"/>
    <w:rsid w:val="00E33DD7"/>
    <w:rsid w:val="00E553DE"/>
    <w:rsid w:val="00E60BAE"/>
    <w:rsid w:val="00E70BBC"/>
    <w:rsid w:val="00E71771"/>
    <w:rsid w:val="00E73FD3"/>
    <w:rsid w:val="00E74B32"/>
    <w:rsid w:val="00E766AA"/>
    <w:rsid w:val="00E775DE"/>
    <w:rsid w:val="00E820BB"/>
    <w:rsid w:val="00E86C3E"/>
    <w:rsid w:val="00E87783"/>
    <w:rsid w:val="00E87B0C"/>
    <w:rsid w:val="00E92B34"/>
    <w:rsid w:val="00E95F1D"/>
    <w:rsid w:val="00EA32F3"/>
    <w:rsid w:val="00EB0BCC"/>
    <w:rsid w:val="00EB1586"/>
    <w:rsid w:val="00EB1DC3"/>
    <w:rsid w:val="00EB3E9C"/>
    <w:rsid w:val="00EB62E0"/>
    <w:rsid w:val="00EB67AC"/>
    <w:rsid w:val="00EC27F8"/>
    <w:rsid w:val="00EC3F6A"/>
    <w:rsid w:val="00EC5996"/>
    <w:rsid w:val="00EC67A8"/>
    <w:rsid w:val="00ED418A"/>
    <w:rsid w:val="00ED73F4"/>
    <w:rsid w:val="00EE1530"/>
    <w:rsid w:val="00EE3EC5"/>
    <w:rsid w:val="00EE6E17"/>
    <w:rsid w:val="00EE7C62"/>
    <w:rsid w:val="00EF16ED"/>
    <w:rsid w:val="00EF1859"/>
    <w:rsid w:val="00EF18D3"/>
    <w:rsid w:val="00F00084"/>
    <w:rsid w:val="00F15E0D"/>
    <w:rsid w:val="00F21960"/>
    <w:rsid w:val="00F22553"/>
    <w:rsid w:val="00F263E5"/>
    <w:rsid w:val="00F327F1"/>
    <w:rsid w:val="00F350F7"/>
    <w:rsid w:val="00F375A3"/>
    <w:rsid w:val="00F46A02"/>
    <w:rsid w:val="00F50445"/>
    <w:rsid w:val="00F51260"/>
    <w:rsid w:val="00F51C7F"/>
    <w:rsid w:val="00F52C16"/>
    <w:rsid w:val="00F52ECC"/>
    <w:rsid w:val="00F541D0"/>
    <w:rsid w:val="00F5631A"/>
    <w:rsid w:val="00F658AB"/>
    <w:rsid w:val="00F74938"/>
    <w:rsid w:val="00F873D8"/>
    <w:rsid w:val="00FA0422"/>
    <w:rsid w:val="00FA1E64"/>
    <w:rsid w:val="00FA2CA4"/>
    <w:rsid w:val="00FA59B4"/>
    <w:rsid w:val="00FB3122"/>
    <w:rsid w:val="00FB5268"/>
    <w:rsid w:val="00FB5B28"/>
    <w:rsid w:val="00FC2876"/>
    <w:rsid w:val="00FC6E0A"/>
    <w:rsid w:val="00FC7C38"/>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semiHidden/>
    <w:unhideWhenUsed/>
    <w:rsid w:val="00A13A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A17"/>
  </w:style>
  <w:style w:type="paragraph" w:styleId="Footer">
    <w:name w:val="footer"/>
    <w:basedOn w:val="Normal"/>
    <w:link w:val="FooterChar"/>
    <w:uiPriority w:val="99"/>
    <w:semiHidden/>
    <w:unhideWhenUsed/>
    <w:rsid w:val="00A13A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A17"/>
  </w:style>
  <w:style w:type="character" w:customStyle="1" w:styleId="ListParagraphChar">
    <w:name w:val="List Paragraph Char"/>
    <w:link w:val="ListParagraph"/>
    <w:uiPriority w:val="34"/>
    <w:qFormat/>
    <w:locked/>
    <w:rsid w:val="000D00B1"/>
  </w:style>
  <w:style w:type="paragraph" w:styleId="BodyTextIndent2">
    <w:name w:val="Body Text Indent 2"/>
    <w:basedOn w:val="Normal"/>
    <w:link w:val="BodyTextIndent2Char"/>
    <w:uiPriority w:val="99"/>
    <w:semiHidden/>
    <w:unhideWhenUsed/>
    <w:rsid w:val="009C5988"/>
    <w:pPr>
      <w:spacing w:after="120" w:line="480" w:lineRule="auto"/>
      <w:ind w:left="360"/>
    </w:pPr>
  </w:style>
  <w:style w:type="character" w:customStyle="1" w:styleId="BodyTextIndent2Char">
    <w:name w:val="Body Text Indent 2 Char"/>
    <w:basedOn w:val="DefaultParagraphFont"/>
    <w:link w:val="BodyTextIndent2"/>
    <w:uiPriority w:val="99"/>
    <w:semiHidden/>
    <w:rsid w:val="009C5988"/>
  </w:style>
  <w:style w:type="paragraph" w:styleId="PlainText">
    <w:name w:val="Plain Text"/>
    <w:basedOn w:val="Normal"/>
    <w:link w:val="PlainTextChar1"/>
    <w:unhideWhenUsed/>
    <w:rsid w:val="009C5988"/>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9C5988"/>
    <w:rPr>
      <w:rFonts w:ascii="Consolas" w:hAnsi="Consolas" w:cs="Consolas"/>
      <w:sz w:val="21"/>
      <w:szCs w:val="21"/>
    </w:rPr>
  </w:style>
  <w:style w:type="character" w:customStyle="1" w:styleId="PlainTextChar1">
    <w:name w:val="Plain Text Char1"/>
    <w:basedOn w:val="DefaultParagraphFont"/>
    <w:link w:val="PlainText"/>
    <w:locked/>
    <w:rsid w:val="009C598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172834873">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2146754">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06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1447</TotalTime>
  <Pages>8</Pages>
  <Words>3553</Words>
  <Characters>20257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23763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485</cp:revision>
  <cp:lastPrinted>2021-09-04T06:36:00Z</cp:lastPrinted>
  <dcterms:created xsi:type="dcterms:W3CDTF">2016-12-15T10:11:00Z</dcterms:created>
  <dcterms:modified xsi:type="dcterms:W3CDTF">2021-10-12T05:23:00Z</dcterms:modified>
</cp:coreProperties>
</file>